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BB5902A" w:rsidR="00F92268" w:rsidRPr="00FF66BF" w:rsidRDefault="00BE77C7" w:rsidP="00F246C7">
            <w:pPr>
              <w:pStyle w:val="RefTableHeader"/>
            </w:pPr>
            <w:r>
              <w:t>2008-A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55D071AE" w14:textId="107F65DD" w:rsidR="00041200" w:rsidRDefault="00BE77C7" w:rsidP="00BE77C7">
      <w:pPr>
        <w:pStyle w:val="Heading1"/>
      </w:pPr>
      <w:r w:rsidRPr="00BE77C7">
        <w:t>Specialty Guideline Management</w:t>
      </w:r>
      <w:r w:rsidR="000C2552">
        <w:br/>
      </w:r>
      <w:r w:rsidR="000C2552" w:rsidRPr="000C2552">
        <w:t>Humira and Biosimilars</w:t>
      </w:r>
    </w:p>
    <w:p w14:paraId="1D24306A" w14:textId="361333E6" w:rsidR="008C1274" w:rsidRPr="008C1274" w:rsidRDefault="008C1274" w:rsidP="008C1274">
      <w:pPr>
        <w:keepNext/>
        <w:tabs>
          <w:tab w:val="left" w:pos="2880"/>
        </w:tabs>
        <w:spacing w:before="400" w:after="80"/>
        <w:outlineLvl w:val="1"/>
        <w:rPr>
          <w:rFonts w:cs="Arial"/>
          <w:b/>
          <w:bCs/>
          <w:sz w:val="40"/>
          <w:szCs w:val="24"/>
        </w:rPr>
      </w:pPr>
      <w:r w:rsidRPr="008C1274">
        <w:rPr>
          <w:rFonts w:cs="Arial"/>
          <w:b/>
          <w:bCs/>
          <w:sz w:val="40"/>
          <w:szCs w:val="24"/>
        </w:rPr>
        <w:t>Products Referenced by this Document</w:t>
      </w:r>
    </w:p>
    <w:p w14:paraId="07868740" w14:textId="18D1EBF8" w:rsidR="00725714" w:rsidRDefault="00D82D85" w:rsidP="00BE77C7">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53524C" w:rsidRPr="0053524C">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rsidTr="05F7B8A2">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rsidTr="05F7B8A2">
        <w:trPr>
          <w:cantSplit/>
        </w:trPr>
        <w:tc>
          <w:tcPr>
            <w:tcW w:w="5265" w:type="dxa"/>
          </w:tcPr>
          <w:p w14:paraId="4DED0C9B" w14:textId="1CEAF178" w:rsidR="005B4D7C" w:rsidRPr="00BD1CC1" w:rsidRDefault="00BE77C7">
            <w:pPr>
              <w:pStyle w:val="TableDataUnpadded"/>
            </w:pPr>
            <w:r w:rsidRPr="00BE77C7">
              <w:t>Humira</w:t>
            </w:r>
          </w:p>
        </w:tc>
        <w:tc>
          <w:tcPr>
            <w:tcW w:w="5595" w:type="dxa"/>
          </w:tcPr>
          <w:p w14:paraId="1A09710D" w14:textId="64B99DAB" w:rsidR="005B4D7C" w:rsidRPr="00BD1CC1" w:rsidRDefault="00BE77C7">
            <w:pPr>
              <w:pStyle w:val="TableDataUnpadded"/>
            </w:pPr>
            <w:r w:rsidRPr="00BE77C7">
              <w:t>adalimumab</w:t>
            </w:r>
          </w:p>
        </w:tc>
      </w:tr>
      <w:tr w:rsidR="005B4D7C" w:rsidRPr="00BD1CC1" w14:paraId="25752006" w14:textId="77777777" w:rsidTr="05F7B8A2">
        <w:trPr>
          <w:cantSplit/>
        </w:trPr>
        <w:tc>
          <w:tcPr>
            <w:tcW w:w="5265" w:type="dxa"/>
          </w:tcPr>
          <w:p w14:paraId="54B09F66" w14:textId="79FAF710" w:rsidR="005B4D7C" w:rsidRPr="00BD1CC1" w:rsidRDefault="00BE77C7">
            <w:pPr>
              <w:pStyle w:val="TableDataUnpadded"/>
            </w:pPr>
            <w:proofErr w:type="spellStart"/>
            <w:r w:rsidRPr="00BE77C7">
              <w:t>Abrilada</w:t>
            </w:r>
            <w:proofErr w:type="spellEnd"/>
          </w:p>
        </w:tc>
        <w:tc>
          <w:tcPr>
            <w:tcW w:w="5595" w:type="dxa"/>
          </w:tcPr>
          <w:p w14:paraId="16DFDEDA" w14:textId="70F9D4D3" w:rsidR="005B4D7C" w:rsidRPr="00BD1CC1" w:rsidRDefault="00BE77C7">
            <w:pPr>
              <w:pStyle w:val="TableDataUnpadded"/>
            </w:pPr>
            <w:r w:rsidRPr="00BE77C7">
              <w:t>adalimumab-</w:t>
            </w:r>
            <w:proofErr w:type="spellStart"/>
            <w:r w:rsidRPr="00BE77C7">
              <w:t>afzb</w:t>
            </w:r>
            <w:proofErr w:type="spellEnd"/>
          </w:p>
        </w:tc>
      </w:tr>
      <w:tr w:rsidR="005B4D7C" w:rsidRPr="00BD1CC1" w14:paraId="1AAF0CF9" w14:textId="77777777" w:rsidTr="05F7B8A2">
        <w:trPr>
          <w:cantSplit/>
        </w:trPr>
        <w:tc>
          <w:tcPr>
            <w:tcW w:w="5265" w:type="dxa"/>
          </w:tcPr>
          <w:p w14:paraId="195A3CF4" w14:textId="0E5EBD27" w:rsidR="005B4D7C" w:rsidRPr="00BD1CC1" w:rsidRDefault="00BE77C7">
            <w:pPr>
              <w:pStyle w:val="TableDataUnpadded"/>
            </w:pPr>
            <w:proofErr w:type="spellStart"/>
            <w:r w:rsidRPr="00BE77C7">
              <w:t>Amjevita</w:t>
            </w:r>
            <w:proofErr w:type="spellEnd"/>
          </w:p>
        </w:tc>
        <w:tc>
          <w:tcPr>
            <w:tcW w:w="5595" w:type="dxa"/>
          </w:tcPr>
          <w:p w14:paraId="35E12E04" w14:textId="5360FA29" w:rsidR="005B4D7C" w:rsidRPr="00BD1CC1" w:rsidRDefault="00BE77C7">
            <w:pPr>
              <w:pStyle w:val="TableDataUnpadded"/>
            </w:pPr>
            <w:r w:rsidRPr="00BE77C7">
              <w:t>adalimumab-</w:t>
            </w:r>
            <w:proofErr w:type="spellStart"/>
            <w:r w:rsidRPr="00BE77C7">
              <w:t>atto</w:t>
            </w:r>
            <w:proofErr w:type="spellEnd"/>
          </w:p>
        </w:tc>
      </w:tr>
      <w:tr w:rsidR="00BE77C7" w:rsidRPr="00BD1CC1" w14:paraId="0AC8D1DC" w14:textId="77777777" w:rsidTr="05F7B8A2">
        <w:trPr>
          <w:cantSplit/>
        </w:trPr>
        <w:tc>
          <w:tcPr>
            <w:tcW w:w="5265" w:type="dxa"/>
          </w:tcPr>
          <w:p w14:paraId="706F1D37" w14:textId="71B9A9B8" w:rsidR="00BE77C7" w:rsidRPr="00BE77C7" w:rsidRDefault="00BE77C7">
            <w:pPr>
              <w:pStyle w:val="TableDataUnpadded"/>
            </w:pPr>
            <w:proofErr w:type="spellStart"/>
            <w:r w:rsidRPr="00BE77C7">
              <w:t>Cyltezo</w:t>
            </w:r>
            <w:proofErr w:type="spellEnd"/>
          </w:p>
        </w:tc>
        <w:tc>
          <w:tcPr>
            <w:tcW w:w="5595" w:type="dxa"/>
          </w:tcPr>
          <w:p w14:paraId="71C0C169" w14:textId="2E98AA44" w:rsidR="00BE77C7" w:rsidRPr="00BE77C7" w:rsidRDefault="00BE77C7">
            <w:pPr>
              <w:pStyle w:val="TableDataUnpadded"/>
            </w:pPr>
            <w:r w:rsidRPr="00BE77C7">
              <w:t>adalimumab-</w:t>
            </w:r>
            <w:proofErr w:type="spellStart"/>
            <w:r w:rsidRPr="00BE77C7">
              <w:t>adbm</w:t>
            </w:r>
            <w:proofErr w:type="spellEnd"/>
          </w:p>
        </w:tc>
      </w:tr>
      <w:tr w:rsidR="00BE77C7" w:rsidRPr="00BD1CC1" w14:paraId="22DCE5B1" w14:textId="77777777" w:rsidTr="05F7B8A2">
        <w:trPr>
          <w:cantSplit/>
        </w:trPr>
        <w:tc>
          <w:tcPr>
            <w:tcW w:w="5265" w:type="dxa"/>
          </w:tcPr>
          <w:p w14:paraId="521B9566" w14:textId="6F5CF661" w:rsidR="00BE77C7" w:rsidRPr="00BE77C7" w:rsidRDefault="00BE77C7">
            <w:pPr>
              <w:pStyle w:val="TableDataUnpadded"/>
            </w:pPr>
            <w:proofErr w:type="spellStart"/>
            <w:r w:rsidRPr="00BE77C7">
              <w:t>Hadlima</w:t>
            </w:r>
            <w:proofErr w:type="spellEnd"/>
          </w:p>
        </w:tc>
        <w:tc>
          <w:tcPr>
            <w:tcW w:w="5595" w:type="dxa"/>
          </w:tcPr>
          <w:p w14:paraId="073F4F96" w14:textId="50F5CDD0" w:rsidR="00BE77C7" w:rsidRPr="00BE77C7" w:rsidRDefault="00BE77C7">
            <w:pPr>
              <w:pStyle w:val="TableDataUnpadded"/>
            </w:pPr>
            <w:r w:rsidRPr="00BE77C7">
              <w:t>adalimumab-</w:t>
            </w:r>
            <w:proofErr w:type="spellStart"/>
            <w:r w:rsidRPr="00BE77C7">
              <w:t>bwwd</w:t>
            </w:r>
            <w:proofErr w:type="spellEnd"/>
          </w:p>
        </w:tc>
      </w:tr>
      <w:tr w:rsidR="00BE77C7" w:rsidRPr="00BD1CC1" w14:paraId="0F664896" w14:textId="77777777" w:rsidTr="05F7B8A2">
        <w:trPr>
          <w:cantSplit/>
        </w:trPr>
        <w:tc>
          <w:tcPr>
            <w:tcW w:w="5265" w:type="dxa"/>
          </w:tcPr>
          <w:p w14:paraId="0669C576" w14:textId="26A52513" w:rsidR="00BE77C7" w:rsidRPr="00BE77C7" w:rsidRDefault="00BE77C7">
            <w:pPr>
              <w:pStyle w:val="TableDataUnpadded"/>
            </w:pPr>
            <w:proofErr w:type="spellStart"/>
            <w:r w:rsidRPr="00BE77C7">
              <w:t>Hulio</w:t>
            </w:r>
            <w:proofErr w:type="spellEnd"/>
          </w:p>
        </w:tc>
        <w:tc>
          <w:tcPr>
            <w:tcW w:w="5595" w:type="dxa"/>
          </w:tcPr>
          <w:p w14:paraId="22C8E0D6" w14:textId="104654EA" w:rsidR="00BE77C7" w:rsidRPr="00BE77C7" w:rsidRDefault="00BE77C7">
            <w:pPr>
              <w:pStyle w:val="TableDataUnpadded"/>
            </w:pPr>
            <w:r w:rsidRPr="00BE77C7">
              <w:t>adalimumab-</w:t>
            </w:r>
            <w:proofErr w:type="spellStart"/>
            <w:r w:rsidRPr="00BE77C7">
              <w:t>fkjp</w:t>
            </w:r>
            <w:proofErr w:type="spellEnd"/>
          </w:p>
        </w:tc>
      </w:tr>
      <w:tr w:rsidR="00BE77C7" w:rsidRPr="00BD1CC1" w14:paraId="28BF7C32" w14:textId="77777777" w:rsidTr="05F7B8A2">
        <w:trPr>
          <w:cantSplit/>
        </w:trPr>
        <w:tc>
          <w:tcPr>
            <w:tcW w:w="5265" w:type="dxa"/>
          </w:tcPr>
          <w:p w14:paraId="4FD4DAAB" w14:textId="20DFBD3E" w:rsidR="00BE77C7" w:rsidRPr="00BE77C7" w:rsidRDefault="00BE77C7">
            <w:pPr>
              <w:pStyle w:val="TableDataUnpadded"/>
            </w:pPr>
            <w:proofErr w:type="spellStart"/>
            <w:r w:rsidRPr="00BE77C7">
              <w:t>Hyrimoz</w:t>
            </w:r>
            <w:proofErr w:type="spellEnd"/>
          </w:p>
        </w:tc>
        <w:tc>
          <w:tcPr>
            <w:tcW w:w="5595" w:type="dxa"/>
          </w:tcPr>
          <w:p w14:paraId="33D5B64D" w14:textId="39099926" w:rsidR="00BE77C7" w:rsidRPr="00BE77C7" w:rsidRDefault="00BE77C7">
            <w:pPr>
              <w:pStyle w:val="TableDataUnpadded"/>
            </w:pPr>
            <w:r w:rsidRPr="00BE77C7">
              <w:t>adalimumab-</w:t>
            </w:r>
            <w:proofErr w:type="spellStart"/>
            <w:r w:rsidRPr="00BE77C7">
              <w:t>adaz</w:t>
            </w:r>
            <w:proofErr w:type="spellEnd"/>
          </w:p>
        </w:tc>
      </w:tr>
      <w:tr w:rsidR="00BE77C7" w:rsidRPr="00BD1CC1" w14:paraId="1D9244EC" w14:textId="77777777" w:rsidTr="05F7B8A2">
        <w:trPr>
          <w:cantSplit/>
        </w:trPr>
        <w:tc>
          <w:tcPr>
            <w:tcW w:w="5265" w:type="dxa"/>
          </w:tcPr>
          <w:p w14:paraId="2756BF26" w14:textId="3BF1A31F" w:rsidR="00BE77C7" w:rsidRPr="00BE77C7" w:rsidRDefault="00BE77C7">
            <w:pPr>
              <w:pStyle w:val="TableDataUnpadded"/>
            </w:pPr>
            <w:proofErr w:type="spellStart"/>
            <w:r w:rsidRPr="00BE77C7">
              <w:t>Idacio</w:t>
            </w:r>
            <w:proofErr w:type="spellEnd"/>
          </w:p>
        </w:tc>
        <w:tc>
          <w:tcPr>
            <w:tcW w:w="5595" w:type="dxa"/>
          </w:tcPr>
          <w:p w14:paraId="45EFDA30" w14:textId="7FA4D695" w:rsidR="00BE77C7" w:rsidRPr="00BE77C7" w:rsidRDefault="00BE77C7">
            <w:pPr>
              <w:pStyle w:val="TableDataUnpadded"/>
            </w:pPr>
            <w:r w:rsidRPr="00BE77C7">
              <w:t>adalimumab-</w:t>
            </w:r>
            <w:proofErr w:type="spellStart"/>
            <w:r w:rsidRPr="00BE77C7">
              <w:t>aacf</w:t>
            </w:r>
            <w:proofErr w:type="spellEnd"/>
          </w:p>
        </w:tc>
      </w:tr>
      <w:tr w:rsidR="00BE77C7" w:rsidRPr="00BD1CC1" w14:paraId="2D709BF0" w14:textId="77777777" w:rsidTr="05F7B8A2">
        <w:trPr>
          <w:cantSplit/>
          <w:trHeight w:val="24"/>
        </w:trPr>
        <w:tc>
          <w:tcPr>
            <w:tcW w:w="5265" w:type="dxa"/>
          </w:tcPr>
          <w:p w14:paraId="6929577E" w14:textId="1D66E8D5" w:rsidR="00BE77C7" w:rsidRPr="00BE77C7" w:rsidRDefault="00BE77C7">
            <w:pPr>
              <w:pStyle w:val="TableDataUnpadded"/>
            </w:pPr>
            <w:proofErr w:type="spellStart"/>
            <w:r w:rsidRPr="00BE77C7">
              <w:t>Simlandi</w:t>
            </w:r>
            <w:proofErr w:type="spellEnd"/>
          </w:p>
        </w:tc>
        <w:tc>
          <w:tcPr>
            <w:tcW w:w="5595" w:type="dxa"/>
          </w:tcPr>
          <w:p w14:paraId="720E661F" w14:textId="2924FDFD" w:rsidR="00BE77C7" w:rsidRPr="00BE77C7" w:rsidRDefault="00BE77C7">
            <w:pPr>
              <w:pStyle w:val="TableDataUnpadded"/>
            </w:pPr>
            <w:r w:rsidRPr="00BE77C7">
              <w:t>adalimumab-</w:t>
            </w:r>
            <w:proofErr w:type="spellStart"/>
            <w:r w:rsidRPr="00BE77C7">
              <w:t>ryvk</w:t>
            </w:r>
            <w:proofErr w:type="spellEnd"/>
          </w:p>
        </w:tc>
      </w:tr>
      <w:tr w:rsidR="00BE77C7" w:rsidRPr="00BD1CC1" w14:paraId="0C8DA2E9" w14:textId="77777777" w:rsidTr="05F7B8A2">
        <w:trPr>
          <w:cantSplit/>
        </w:trPr>
        <w:tc>
          <w:tcPr>
            <w:tcW w:w="5265" w:type="dxa"/>
          </w:tcPr>
          <w:p w14:paraId="5B36DC83" w14:textId="456BDD5F" w:rsidR="00BE77C7" w:rsidRPr="00BE77C7" w:rsidRDefault="00BE77C7">
            <w:pPr>
              <w:pStyle w:val="TableDataUnpadded"/>
            </w:pPr>
            <w:proofErr w:type="spellStart"/>
            <w:r w:rsidRPr="00BE77C7">
              <w:t>Yuflyma</w:t>
            </w:r>
            <w:proofErr w:type="spellEnd"/>
          </w:p>
        </w:tc>
        <w:tc>
          <w:tcPr>
            <w:tcW w:w="5595" w:type="dxa"/>
          </w:tcPr>
          <w:p w14:paraId="62B67404" w14:textId="07B563F8" w:rsidR="00BE77C7" w:rsidRPr="00BE77C7" w:rsidRDefault="00BE77C7">
            <w:pPr>
              <w:pStyle w:val="TableDataUnpadded"/>
            </w:pPr>
            <w:r w:rsidRPr="00BE77C7">
              <w:t>adalimumab-</w:t>
            </w:r>
            <w:proofErr w:type="spellStart"/>
            <w:r w:rsidRPr="00BE77C7">
              <w:t>aaty</w:t>
            </w:r>
            <w:proofErr w:type="spellEnd"/>
          </w:p>
        </w:tc>
      </w:tr>
      <w:tr w:rsidR="00BE77C7" w:rsidRPr="00BD1CC1" w14:paraId="1E36F96C" w14:textId="77777777" w:rsidTr="05F7B8A2">
        <w:trPr>
          <w:cantSplit/>
        </w:trPr>
        <w:tc>
          <w:tcPr>
            <w:tcW w:w="5265" w:type="dxa"/>
          </w:tcPr>
          <w:p w14:paraId="32EB606B" w14:textId="7F8D772F" w:rsidR="00BE77C7" w:rsidRPr="00BE77C7" w:rsidRDefault="00BE77C7">
            <w:pPr>
              <w:pStyle w:val="TableDataUnpadded"/>
            </w:pPr>
            <w:proofErr w:type="spellStart"/>
            <w:r w:rsidRPr="00BE77C7">
              <w:t>Yusimry</w:t>
            </w:r>
            <w:proofErr w:type="spellEnd"/>
          </w:p>
        </w:tc>
        <w:tc>
          <w:tcPr>
            <w:tcW w:w="5595" w:type="dxa"/>
          </w:tcPr>
          <w:p w14:paraId="0ADEBE4B" w14:textId="3DF6FBFD" w:rsidR="00BE77C7" w:rsidRPr="00BE77C7" w:rsidRDefault="00BE77C7" w:rsidP="00BE77C7">
            <w:pPr>
              <w:pStyle w:val="TableDataUnpadded"/>
            </w:pPr>
            <w:r w:rsidRPr="00BE77C7">
              <w:t>adalimumab-</w:t>
            </w:r>
            <w:proofErr w:type="spellStart"/>
            <w:r w:rsidRPr="00BE77C7">
              <w:t>aqvh</w:t>
            </w:r>
            <w:proofErr w:type="spellEnd"/>
          </w:p>
        </w:tc>
      </w:tr>
      <w:tr w:rsidR="00C272C4" w:rsidRPr="00BD1CC1" w14:paraId="2D87D734" w14:textId="77777777" w:rsidTr="05F7B8A2">
        <w:trPr>
          <w:cantSplit/>
        </w:trPr>
        <w:tc>
          <w:tcPr>
            <w:tcW w:w="5265" w:type="dxa"/>
          </w:tcPr>
          <w:p w14:paraId="3312C128" w14:textId="7929DFF6" w:rsidR="00C272C4" w:rsidRPr="00BE77C7" w:rsidRDefault="00BB52E4">
            <w:pPr>
              <w:pStyle w:val="TableDataUnpadded"/>
            </w:pPr>
            <w:r w:rsidRPr="00BE77C7">
              <w:t>adalimumab</w:t>
            </w:r>
            <w:r w:rsidR="004D2C9C">
              <w:t xml:space="preserve"> (unbranded Humira)</w:t>
            </w:r>
          </w:p>
        </w:tc>
        <w:tc>
          <w:tcPr>
            <w:tcW w:w="5595" w:type="dxa"/>
          </w:tcPr>
          <w:p w14:paraId="7188F0B9" w14:textId="75E40E08" w:rsidR="00C272C4" w:rsidRPr="00BE77C7" w:rsidRDefault="004D2C9C" w:rsidP="00BE77C7">
            <w:pPr>
              <w:pStyle w:val="TableDataUnpadded"/>
            </w:pPr>
            <w:r w:rsidRPr="00BE77C7">
              <w:t>adalimumab</w:t>
            </w:r>
          </w:p>
        </w:tc>
      </w:tr>
      <w:tr w:rsidR="004D2C9C" w:rsidRPr="00BD1CC1" w14:paraId="6DE7AA33" w14:textId="77777777" w:rsidTr="05F7B8A2">
        <w:trPr>
          <w:cantSplit/>
        </w:trPr>
        <w:tc>
          <w:tcPr>
            <w:tcW w:w="5265" w:type="dxa"/>
          </w:tcPr>
          <w:p w14:paraId="5DFE39F8" w14:textId="03B0DB9A" w:rsidR="004D2C9C" w:rsidRPr="00BE77C7" w:rsidRDefault="00EE0D91">
            <w:pPr>
              <w:pStyle w:val="TableDataUnpadded"/>
            </w:pPr>
            <w:r w:rsidRPr="00BE77C7">
              <w:t>adalimumab-</w:t>
            </w:r>
            <w:proofErr w:type="spellStart"/>
            <w:r w:rsidRPr="00BE77C7">
              <w:t>aacf</w:t>
            </w:r>
            <w:proofErr w:type="spellEnd"/>
            <w:r>
              <w:t xml:space="preserve"> (unbranded </w:t>
            </w:r>
            <w:proofErr w:type="spellStart"/>
            <w:r w:rsidR="00090EF6">
              <w:t>Idacio</w:t>
            </w:r>
            <w:proofErr w:type="spellEnd"/>
            <w:r w:rsidR="00090EF6">
              <w:t>)</w:t>
            </w:r>
          </w:p>
        </w:tc>
        <w:tc>
          <w:tcPr>
            <w:tcW w:w="5595" w:type="dxa"/>
          </w:tcPr>
          <w:p w14:paraId="7D02C25F" w14:textId="32E54809" w:rsidR="004D2C9C" w:rsidRPr="00BE77C7" w:rsidRDefault="00090EF6" w:rsidP="00BE77C7">
            <w:pPr>
              <w:pStyle w:val="TableDataUnpadded"/>
            </w:pPr>
            <w:r w:rsidRPr="00BE77C7">
              <w:t>adalimumab-</w:t>
            </w:r>
            <w:proofErr w:type="spellStart"/>
            <w:r w:rsidRPr="00BE77C7">
              <w:t>aacf</w:t>
            </w:r>
            <w:proofErr w:type="spellEnd"/>
          </w:p>
        </w:tc>
      </w:tr>
      <w:tr w:rsidR="00090EF6" w:rsidRPr="00BD1CC1" w14:paraId="43DA18F4" w14:textId="77777777" w:rsidTr="05F7B8A2">
        <w:trPr>
          <w:cantSplit/>
        </w:trPr>
        <w:tc>
          <w:tcPr>
            <w:tcW w:w="5265" w:type="dxa"/>
          </w:tcPr>
          <w:p w14:paraId="51F424C7" w14:textId="09F562E4" w:rsidR="00090EF6" w:rsidRPr="00BE77C7" w:rsidRDefault="00090EF6">
            <w:pPr>
              <w:pStyle w:val="TableDataUnpadded"/>
            </w:pPr>
            <w:r w:rsidRPr="00BE77C7">
              <w:t>adalimumab-</w:t>
            </w:r>
            <w:proofErr w:type="spellStart"/>
            <w:r w:rsidRPr="00BE77C7">
              <w:t>aaty</w:t>
            </w:r>
            <w:proofErr w:type="spellEnd"/>
            <w:r>
              <w:t xml:space="preserve"> (unbranded </w:t>
            </w:r>
            <w:proofErr w:type="spellStart"/>
            <w:r>
              <w:t>Yuflyma</w:t>
            </w:r>
            <w:proofErr w:type="spellEnd"/>
            <w:r>
              <w:t>)</w:t>
            </w:r>
          </w:p>
        </w:tc>
        <w:tc>
          <w:tcPr>
            <w:tcW w:w="5595" w:type="dxa"/>
          </w:tcPr>
          <w:p w14:paraId="1E33CA06" w14:textId="25DF820C" w:rsidR="00090EF6" w:rsidRPr="00BE77C7" w:rsidRDefault="00090EF6" w:rsidP="00BE77C7">
            <w:pPr>
              <w:pStyle w:val="TableDataUnpadded"/>
            </w:pPr>
            <w:r w:rsidRPr="00BE77C7">
              <w:t>adalimumab-</w:t>
            </w:r>
            <w:proofErr w:type="spellStart"/>
            <w:r w:rsidRPr="00BE77C7">
              <w:t>aaty</w:t>
            </w:r>
            <w:proofErr w:type="spellEnd"/>
          </w:p>
        </w:tc>
      </w:tr>
      <w:tr w:rsidR="00090EF6" w:rsidRPr="00BD1CC1" w14:paraId="6089970D" w14:textId="77777777" w:rsidTr="05F7B8A2">
        <w:trPr>
          <w:cantSplit/>
        </w:trPr>
        <w:tc>
          <w:tcPr>
            <w:tcW w:w="5265" w:type="dxa"/>
          </w:tcPr>
          <w:p w14:paraId="26923F7C" w14:textId="612D7E6E" w:rsidR="00090EF6" w:rsidRPr="00BE77C7" w:rsidRDefault="00A963AC">
            <w:pPr>
              <w:pStyle w:val="TableDataUnpadded"/>
            </w:pPr>
            <w:r w:rsidRPr="00BE77C7">
              <w:t>adalimumab-</w:t>
            </w:r>
            <w:proofErr w:type="spellStart"/>
            <w:r w:rsidRPr="00BE77C7">
              <w:t>adaz</w:t>
            </w:r>
            <w:proofErr w:type="spellEnd"/>
            <w:r>
              <w:t xml:space="preserve"> (unbranded </w:t>
            </w:r>
            <w:proofErr w:type="spellStart"/>
            <w:r>
              <w:t>Hyrimoz</w:t>
            </w:r>
            <w:proofErr w:type="spellEnd"/>
            <w:r>
              <w:t>)</w:t>
            </w:r>
          </w:p>
        </w:tc>
        <w:tc>
          <w:tcPr>
            <w:tcW w:w="5595" w:type="dxa"/>
          </w:tcPr>
          <w:p w14:paraId="539A4659" w14:textId="295825D8" w:rsidR="00090EF6" w:rsidRPr="00BE77C7" w:rsidRDefault="00A963AC" w:rsidP="00BE77C7">
            <w:pPr>
              <w:pStyle w:val="TableDataUnpadded"/>
            </w:pPr>
            <w:r w:rsidRPr="00BE77C7">
              <w:t>adalimumab-</w:t>
            </w:r>
            <w:proofErr w:type="spellStart"/>
            <w:r w:rsidRPr="00BE77C7">
              <w:t>adaz</w:t>
            </w:r>
            <w:proofErr w:type="spellEnd"/>
          </w:p>
        </w:tc>
      </w:tr>
      <w:tr w:rsidR="00A963AC" w:rsidRPr="00BD1CC1" w14:paraId="30354341" w14:textId="77777777" w:rsidTr="05F7B8A2">
        <w:trPr>
          <w:cantSplit/>
        </w:trPr>
        <w:tc>
          <w:tcPr>
            <w:tcW w:w="5265" w:type="dxa"/>
          </w:tcPr>
          <w:p w14:paraId="3A86E9C7" w14:textId="4335EF2D" w:rsidR="00A963AC" w:rsidRPr="00BE77C7" w:rsidRDefault="00A963AC">
            <w:pPr>
              <w:pStyle w:val="TableDataUnpadded"/>
            </w:pPr>
            <w:r w:rsidRPr="00BE77C7">
              <w:t>adalimumab-</w:t>
            </w:r>
            <w:proofErr w:type="spellStart"/>
            <w:r w:rsidRPr="00BE77C7">
              <w:t>adbm</w:t>
            </w:r>
            <w:proofErr w:type="spellEnd"/>
            <w:r>
              <w:t xml:space="preserve"> (unbranded </w:t>
            </w:r>
            <w:proofErr w:type="spellStart"/>
            <w:r>
              <w:t>Cyltezo</w:t>
            </w:r>
            <w:proofErr w:type="spellEnd"/>
            <w:r>
              <w:t>)</w:t>
            </w:r>
          </w:p>
        </w:tc>
        <w:tc>
          <w:tcPr>
            <w:tcW w:w="5595" w:type="dxa"/>
          </w:tcPr>
          <w:p w14:paraId="64C33781" w14:textId="07257A67" w:rsidR="00A963AC" w:rsidRPr="00BE77C7" w:rsidRDefault="00A963AC" w:rsidP="00BE77C7">
            <w:pPr>
              <w:pStyle w:val="TableDataUnpadded"/>
            </w:pPr>
            <w:r w:rsidRPr="00BE77C7">
              <w:t>adalimumab-</w:t>
            </w:r>
            <w:proofErr w:type="spellStart"/>
            <w:r w:rsidRPr="00BE77C7">
              <w:t>adbm</w:t>
            </w:r>
            <w:proofErr w:type="spellEnd"/>
          </w:p>
        </w:tc>
      </w:tr>
      <w:tr w:rsidR="00674F6B" w:rsidRPr="00BD1CC1" w14:paraId="1162325E" w14:textId="77777777" w:rsidTr="05F7B8A2">
        <w:trPr>
          <w:cantSplit/>
        </w:trPr>
        <w:tc>
          <w:tcPr>
            <w:tcW w:w="5265" w:type="dxa"/>
          </w:tcPr>
          <w:p w14:paraId="7542642D" w14:textId="67812A19" w:rsidR="00674F6B" w:rsidRPr="00BE77C7" w:rsidRDefault="00674F6B">
            <w:pPr>
              <w:pStyle w:val="TableDataUnpadded"/>
            </w:pPr>
            <w:r>
              <w:t>adalimumab-</w:t>
            </w:r>
            <w:proofErr w:type="spellStart"/>
            <w:r>
              <w:t>bwwd</w:t>
            </w:r>
            <w:proofErr w:type="spellEnd"/>
            <w:r>
              <w:t xml:space="preserve"> (unbranded </w:t>
            </w:r>
            <w:proofErr w:type="spellStart"/>
            <w:r>
              <w:t>Hadlima</w:t>
            </w:r>
            <w:proofErr w:type="spellEnd"/>
            <w:r>
              <w:t>)</w:t>
            </w:r>
          </w:p>
        </w:tc>
        <w:tc>
          <w:tcPr>
            <w:tcW w:w="5595" w:type="dxa"/>
          </w:tcPr>
          <w:p w14:paraId="0F0A18B3" w14:textId="66EC9E82" w:rsidR="00674F6B" w:rsidRPr="00BE77C7" w:rsidRDefault="00674F6B" w:rsidP="00BE77C7">
            <w:pPr>
              <w:pStyle w:val="TableDataUnpadded"/>
            </w:pPr>
            <w:r>
              <w:t>adalimumab-</w:t>
            </w:r>
            <w:proofErr w:type="spellStart"/>
            <w:r>
              <w:t>bwwd</w:t>
            </w:r>
            <w:proofErr w:type="spellEnd"/>
          </w:p>
        </w:tc>
      </w:tr>
      <w:tr w:rsidR="00A963AC" w:rsidRPr="00BD1CC1" w14:paraId="69715E65" w14:textId="77777777" w:rsidTr="05F7B8A2">
        <w:trPr>
          <w:cantSplit/>
        </w:trPr>
        <w:tc>
          <w:tcPr>
            <w:tcW w:w="5265" w:type="dxa"/>
          </w:tcPr>
          <w:p w14:paraId="6BB96CB2" w14:textId="1333F603" w:rsidR="00A963AC" w:rsidRPr="00BE77C7" w:rsidRDefault="00A963AC">
            <w:pPr>
              <w:pStyle w:val="TableDataUnpadded"/>
            </w:pPr>
            <w:r w:rsidRPr="00BE77C7">
              <w:t>adalimumab-</w:t>
            </w:r>
            <w:proofErr w:type="spellStart"/>
            <w:r w:rsidRPr="00BE77C7">
              <w:t>fkjp</w:t>
            </w:r>
            <w:proofErr w:type="spellEnd"/>
            <w:r>
              <w:t xml:space="preserve"> (unbranded </w:t>
            </w:r>
            <w:proofErr w:type="spellStart"/>
            <w:r w:rsidR="00467A62">
              <w:t>Hulio</w:t>
            </w:r>
            <w:proofErr w:type="spellEnd"/>
            <w:r w:rsidR="00467A62">
              <w:t>)</w:t>
            </w:r>
          </w:p>
        </w:tc>
        <w:tc>
          <w:tcPr>
            <w:tcW w:w="5595" w:type="dxa"/>
          </w:tcPr>
          <w:p w14:paraId="438BE8DE" w14:textId="2CD7ECAB" w:rsidR="00467A62" w:rsidRPr="00BE77C7" w:rsidRDefault="00467A62" w:rsidP="00BE77C7">
            <w:pPr>
              <w:pStyle w:val="TableDataUnpadded"/>
            </w:pPr>
            <w:r w:rsidRPr="00BE77C7">
              <w:t>adalimumab-</w:t>
            </w:r>
            <w:proofErr w:type="spellStart"/>
            <w:r w:rsidRPr="00BE77C7">
              <w:t>fkjp</w:t>
            </w:r>
            <w:proofErr w:type="spellEnd"/>
          </w:p>
        </w:tc>
      </w:tr>
      <w:tr w:rsidR="00467A62" w:rsidRPr="00BD1CC1" w14:paraId="4570450D" w14:textId="77777777" w:rsidTr="05F7B8A2">
        <w:trPr>
          <w:cantSplit/>
        </w:trPr>
        <w:tc>
          <w:tcPr>
            <w:tcW w:w="5265" w:type="dxa"/>
          </w:tcPr>
          <w:p w14:paraId="67116C19" w14:textId="34A5D914" w:rsidR="00467A62" w:rsidRPr="00BE77C7" w:rsidRDefault="00467A62">
            <w:pPr>
              <w:pStyle w:val="TableDataUnpadded"/>
            </w:pPr>
            <w:r w:rsidRPr="00BE77C7">
              <w:t>adalimumab-</w:t>
            </w:r>
            <w:proofErr w:type="spellStart"/>
            <w:r w:rsidRPr="00BE77C7">
              <w:t>ryvk</w:t>
            </w:r>
            <w:proofErr w:type="spellEnd"/>
            <w:r>
              <w:t xml:space="preserve"> (unbranded </w:t>
            </w:r>
            <w:proofErr w:type="spellStart"/>
            <w:r>
              <w:t>Simlandi</w:t>
            </w:r>
            <w:proofErr w:type="spellEnd"/>
            <w:r>
              <w:t>)</w:t>
            </w:r>
          </w:p>
        </w:tc>
        <w:tc>
          <w:tcPr>
            <w:tcW w:w="5595" w:type="dxa"/>
          </w:tcPr>
          <w:p w14:paraId="226CDD3D" w14:textId="5985A869" w:rsidR="00467A62" w:rsidRPr="00BE77C7" w:rsidRDefault="00467A62" w:rsidP="00BE77C7">
            <w:pPr>
              <w:pStyle w:val="TableDataUnpadded"/>
            </w:pPr>
            <w:r w:rsidRPr="00BE77C7">
              <w:t>adalimumab-</w:t>
            </w:r>
            <w:proofErr w:type="spellStart"/>
            <w:r w:rsidRPr="00BE77C7">
              <w:t>ryvk</w:t>
            </w:r>
            <w:proofErr w:type="spellEnd"/>
          </w:p>
        </w:tc>
      </w:tr>
    </w:tbl>
    <w:p w14:paraId="2CAF3938" w14:textId="4A950D92" w:rsidR="008C1274" w:rsidRPr="008C1274" w:rsidRDefault="008C1274" w:rsidP="002E45CD">
      <w:pPr>
        <w:keepNext/>
        <w:tabs>
          <w:tab w:val="left" w:pos="4575"/>
        </w:tabs>
        <w:spacing w:before="400" w:after="80"/>
        <w:outlineLvl w:val="1"/>
        <w:rPr>
          <w:rFonts w:cs="Arial"/>
          <w:b/>
          <w:bCs/>
          <w:sz w:val="40"/>
          <w:szCs w:val="24"/>
        </w:rPr>
      </w:pPr>
      <w:r w:rsidRPr="008C1274">
        <w:rPr>
          <w:rFonts w:cs="Arial"/>
          <w:b/>
          <w:bCs/>
          <w:sz w:val="40"/>
          <w:szCs w:val="24"/>
        </w:rPr>
        <w:lastRenderedPageBreak/>
        <w:t>Indications</w:t>
      </w:r>
    </w:p>
    <w:p w14:paraId="576A2DA6" w14:textId="6E63844E" w:rsidR="00BE77C7" w:rsidRPr="0025345A" w:rsidRDefault="00BE77C7" w:rsidP="004B71E5">
      <w:pPr>
        <w:pStyle w:val="BodyText"/>
      </w:pPr>
      <w:r w:rsidRPr="00BE77C7">
        <w:t>The indications below including FDA-approved indications and compendial uses are considered a covered benefit provided that all the approval criteria are met and the member has no exclusions to the prescribed therapy.</w:t>
      </w:r>
    </w:p>
    <w:p w14:paraId="134B5687" w14:textId="46CB3BA3" w:rsidR="00ED052F" w:rsidRDefault="00ED052F" w:rsidP="00ED052F">
      <w:pPr>
        <w:pStyle w:val="Heading3"/>
      </w:pPr>
      <w:r w:rsidRPr="00BD1CC1">
        <w:t>FDA-approved Indications</w:t>
      </w:r>
      <w:r w:rsidR="00BE77C7" w:rsidRPr="0090184E">
        <w:rPr>
          <w:vertAlign w:val="superscript"/>
        </w:rPr>
        <w:t>1-</w:t>
      </w:r>
      <w:r w:rsidR="001F6652" w:rsidRPr="0090184E">
        <w:rPr>
          <w:vertAlign w:val="superscript"/>
        </w:rPr>
        <w:t>1</w:t>
      </w:r>
      <w:r w:rsidR="005866BE">
        <w:rPr>
          <w:vertAlign w:val="superscript"/>
        </w:rPr>
        <w:t>9</w:t>
      </w:r>
    </w:p>
    <w:p w14:paraId="428D1473" w14:textId="7DBBB2D4" w:rsidR="001B7A6C" w:rsidRDefault="00BE77C7" w:rsidP="0050044C">
      <w:pPr>
        <w:pStyle w:val="ListParagraph"/>
        <w:numPr>
          <w:ilvl w:val="0"/>
          <w:numId w:val="24"/>
        </w:numPr>
      </w:pPr>
      <w:r w:rsidRPr="003C33EE">
        <w:t>Reducing signs and symptoms, inducing major clinical response, inhibiting the progression of structural damage, and improving physical function in adult patients with moderately to severely active rheumatoid arthritis (RA)</w:t>
      </w:r>
    </w:p>
    <w:p w14:paraId="7F3B9BDA" w14:textId="24C86E52" w:rsidR="00BE77C7" w:rsidRPr="003C33EE" w:rsidRDefault="00BE77C7" w:rsidP="0050044C">
      <w:pPr>
        <w:pStyle w:val="ListParagraph"/>
        <w:numPr>
          <w:ilvl w:val="0"/>
          <w:numId w:val="24"/>
        </w:numPr>
      </w:pPr>
      <w:r w:rsidRPr="003C33EE">
        <w:t>Reducing signs and symptoms of moderately to severely active polyarticular juvenile idiopathic arthritis (JIA) in patients 2 years of age and older</w:t>
      </w:r>
    </w:p>
    <w:p w14:paraId="39565F76" w14:textId="383D0AA5" w:rsidR="001B7A6C" w:rsidRDefault="00BE77C7" w:rsidP="0050044C">
      <w:pPr>
        <w:pStyle w:val="ListParagraph"/>
        <w:numPr>
          <w:ilvl w:val="0"/>
          <w:numId w:val="24"/>
        </w:numPr>
      </w:pPr>
      <w:r w:rsidRPr="003C33EE">
        <w:t>Reducing signs and symptoms, inhibiting the progression of structural damage, and improving physical function in adult patients with active psoriatic arthritis (PsA)</w:t>
      </w:r>
    </w:p>
    <w:p w14:paraId="419909FC" w14:textId="18CE2107" w:rsidR="001B7A6C" w:rsidRDefault="00BE77C7" w:rsidP="0050044C">
      <w:pPr>
        <w:pStyle w:val="ListParagraph"/>
        <w:numPr>
          <w:ilvl w:val="0"/>
          <w:numId w:val="24"/>
        </w:numPr>
      </w:pPr>
      <w:r w:rsidRPr="003C33EE">
        <w:t>Reducing signs and symptoms in adult patients with active ankylosing spondylitis (AS)</w:t>
      </w:r>
    </w:p>
    <w:p w14:paraId="2720D367" w14:textId="36D5CF27" w:rsidR="001B7A6C" w:rsidRDefault="00624CA8" w:rsidP="0050044C">
      <w:pPr>
        <w:pStyle w:val="ListParagraph"/>
        <w:numPr>
          <w:ilvl w:val="0"/>
          <w:numId w:val="24"/>
        </w:numPr>
      </w:pPr>
      <w:r>
        <w:t>T</w:t>
      </w:r>
      <w:r w:rsidR="00BE77C7" w:rsidRPr="003C33EE">
        <w:t>reatment of moderately to severely active Crohn’s disease (CD) in adult and pediatric patients 6 years of age and older</w:t>
      </w:r>
    </w:p>
    <w:p w14:paraId="2F1C3674" w14:textId="0E7DC058" w:rsidR="00013AB9" w:rsidRPr="00FD6025" w:rsidRDefault="00E57BD6" w:rsidP="000D5F54">
      <w:pPr>
        <w:pStyle w:val="ListParagraph"/>
        <w:numPr>
          <w:ilvl w:val="0"/>
          <w:numId w:val="24"/>
        </w:numPr>
      </w:pPr>
      <w:r>
        <w:t>T</w:t>
      </w:r>
      <w:r w:rsidR="00BE77C7" w:rsidRPr="003C33EE">
        <w:t>reatment of moderately to severely active ulcerative colitis (UC) in adult and pediatric patients 5 years of age and older</w:t>
      </w:r>
      <w:r w:rsidR="00EC31C2">
        <w:br/>
      </w:r>
      <w:r w:rsidR="00013AB9" w:rsidRPr="00EC31C2">
        <w:t xml:space="preserve">Limitations of Use: </w:t>
      </w:r>
      <w:r w:rsidR="00FF309E" w:rsidRPr="00EC31C2">
        <w:t>The effectiveness of Humira has not been established in patients who have lost response to or were intolerant to tumor</w:t>
      </w:r>
      <w:r w:rsidR="00FF309E" w:rsidRPr="003C33EE">
        <w:t xml:space="preserve"> necrosis factor (TNF) blockers</w:t>
      </w:r>
    </w:p>
    <w:p w14:paraId="315ADB81" w14:textId="0948A5C5" w:rsidR="001B7A6C" w:rsidRDefault="00D32D77" w:rsidP="0050044C">
      <w:pPr>
        <w:pStyle w:val="ListParagraph"/>
        <w:numPr>
          <w:ilvl w:val="0"/>
          <w:numId w:val="25"/>
        </w:numPr>
      </w:pPr>
      <w:r>
        <w:t>T</w:t>
      </w:r>
      <w:r w:rsidR="00013AB9" w:rsidRPr="003C33EE">
        <w:t>reatment of adult patients with moderate to severe chronic plaque psoriasis (</w:t>
      </w:r>
      <w:proofErr w:type="spellStart"/>
      <w:r w:rsidR="00013AB9" w:rsidRPr="003C33EE">
        <w:t>PsO</w:t>
      </w:r>
      <w:proofErr w:type="spellEnd"/>
      <w:r w:rsidR="00013AB9" w:rsidRPr="003C33EE">
        <w:t>) who are candidates for systemic therapy or phototherapy, and when other systemic therapies are medically less appropriate</w:t>
      </w:r>
    </w:p>
    <w:p w14:paraId="36124D51" w14:textId="430C3A14" w:rsidR="00013AB9" w:rsidRPr="003C33EE" w:rsidRDefault="00D32D77" w:rsidP="0050044C">
      <w:pPr>
        <w:pStyle w:val="ListParagraph"/>
        <w:numPr>
          <w:ilvl w:val="0"/>
          <w:numId w:val="25"/>
        </w:numPr>
      </w:pPr>
      <w:r>
        <w:t>T</w:t>
      </w:r>
      <w:r w:rsidR="00013AB9" w:rsidRPr="003C33EE">
        <w:t>reatment of moderate to severe hidradenitis suppurativa in patients 12 years of age and older</w:t>
      </w:r>
    </w:p>
    <w:p w14:paraId="1598AEC6" w14:textId="471CDDFE" w:rsidR="00013AB9" w:rsidRPr="003C33EE" w:rsidRDefault="00D32D77" w:rsidP="0050044C">
      <w:pPr>
        <w:pStyle w:val="ListParagraph"/>
        <w:numPr>
          <w:ilvl w:val="0"/>
          <w:numId w:val="25"/>
        </w:numPr>
      </w:pPr>
      <w:r>
        <w:t>T</w:t>
      </w:r>
      <w:r w:rsidR="00013AB9" w:rsidRPr="003C33EE">
        <w:t>reatment of non-infectious intermediate, posterior, and panuveitis in adults and pediatric patients 2 years of age and older</w:t>
      </w:r>
    </w:p>
    <w:p w14:paraId="0B5EC236" w14:textId="24203ED1" w:rsidR="0044763A" w:rsidRDefault="009F2EF1" w:rsidP="0044763A">
      <w:pPr>
        <w:pStyle w:val="Heading3"/>
      </w:pPr>
      <w:r>
        <w:t>Compendial Uses</w:t>
      </w:r>
    </w:p>
    <w:p w14:paraId="49434409" w14:textId="397D331D" w:rsidR="00013AB9" w:rsidRPr="00244FC8" w:rsidRDefault="00013AB9" w:rsidP="00013AB9">
      <w:pPr>
        <w:pStyle w:val="ListParagraph"/>
      </w:pPr>
      <w:r>
        <w:t xml:space="preserve">Non-radiographic axial </w:t>
      </w:r>
      <w:r w:rsidRPr="00244FC8">
        <w:t>spondyloarthritis</w:t>
      </w:r>
      <w:r w:rsidRPr="00244FC8">
        <w:rPr>
          <w:vertAlign w:val="superscript"/>
        </w:rPr>
        <w:t>4</w:t>
      </w:r>
      <w:r w:rsidR="005866BE">
        <w:rPr>
          <w:vertAlign w:val="superscript"/>
        </w:rPr>
        <w:t>4</w:t>
      </w:r>
    </w:p>
    <w:p w14:paraId="3495DB92" w14:textId="1B8117A5" w:rsidR="00013AB9" w:rsidRPr="00244FC8" w:rsidRDefault="00013AB9" w:rsidP="00013AB9">
      <w:pPr>
        <w:pStyle w:val="ListParagraph"/>
      </w:pPr>
      <w:proofErr w:type="spellStart"/>
      <w:r w:rsidRPr="00244FC8">
        <w:t>Behcet's</w:t>
      </w:r>
      <w:proofErr w:type="spellEnd"/>
      <w:r w:rsidRPr="00244FC8">
        <w:t xml:space="preserve"> </w:t>
      </w:r>
      <w:r w:rsidR="005D000A" w:rsidRPr="00244FC8">
        <w:t>disease</w:t>
      </w:r>
      <w:r w:rsidR="005D000A" w:rsidRPr="00244FC8">
        <w:rPr>
          <w:vertAlign w:val="superscript"/>
        </w:rPr>
        <w:t>3</w:t>
      </w:r>
      <w:r w:rsidR="005866BE">
        <w:rPr>
          <w:vertAlign w:val="superscript"/>
        </w:rPr>
        <w:t>7</w:t>
      </w:r>
      <w:r w:rsidRPr="00244FC8">
        <w:rPr>
          <w:vertAlign w:val="superscript"/>
        </w:rPr>
        <w:t>,</w:t>
      </w:r>
      <w:r w:rsidR="005D000A" w:rsidRPr="00244FC8">
        <w:rPr>
          <w:vertAlign w:val="superscript"/>
        </w:rPr>
        <w:t>4</w:t>
      </w:r>
      <w:r w:rsidR="005866BE">
        <w:rPr>
          <w:vertAlign w:val="superscript"/>
        </w:rPr>
        <w:t>4</w:t>
      </w:r>
    </w:p>
    <w:p w14:paraId="741542C2" w14:textId="228392DB" w:rsidR="00013AB9" w:rsidRPr="00244FC8" w:rsidRDefault="00013AB9" w:rsidP="00013AB9">
      <w:pPr>
        <w:pStyle w:val="ListParagraph"/>
      </w:pPr>
      <w:r w:rsidRPr="00244FC8">
        <w:t xml:space="preserve">Pyoderma </w:t>
      </w:r>
      <w:r w:rsidR="00244FC8" w:rsidRPr="00244FC8">
        <w:t>gangrenosum</w:t>
      </w:r>
      <w:r w:rsidR="005D000A" w:rsidRPr="00244FC8">
        <w:rPr>
          <w:vertAlign w:val="superscript"/>
        </w:rPr>
        <w:t>3</w:t>
      </w:r>
      <w:r w:rsidR="005866BE">
        <w:rPr>
          <w:vertAlign w:val="superscript"/>
        </w:rPr>
        <w:t>4</w:t>
      </w:r>
      <w:r w:rsidRPr="00244FC8">
        <w:rPr>
          <w:vertAlign w:val="superscript"/>
        </w:rPr>
        <w:t>-</w:t>
      </w:r>
      <w:r w:rsidR="005D000A" w:rsidRPr="00244FC8">
        <w:rPr>
          <w:vertAlign w:val="superscript"/>
        </w:rPr>
        <w:t>3</w:t>
      </w:r>
      <w:r w:rsidR="005866BE">
        <w:rPr>
          <w:vertAlign w:val="superscript"/>
        </w:rPr>
        <w:t>6</w:t>
      </w:r>
      <w:r w:rsidRPr="00244FC8">
        <w:rPr>
          <w:vertAlign w:val="superscript"/>
        </w:rPr>
        <w:t>,</w:t>
      </w:r>
      <w:r w:rsidR="005D000A" w:rsidRPr="00244FC8">
        <w:rPr>
          <w:vertAlign w:val="superscript"/>
        </w:rPr>
        <w:t>4</w:t>
      </w:r>
      <w:r w:rsidR="005866BE">
        <w:rPr>
          <w:vertAlign w:val="superscript"/>
        </w:rPr>
        <w:t>5</w:t>
      </w:r>
    </w:p>
    <w:p w14:paraId="6EAEFAB2" w14:textId="677B51C8" w:rsidR="00013AB9" w:rsidRPr="00244FC8" w:rsidRDefault="00013AB9" w:rsidP="00013AB9">
      <w:pPr>
        <w:pStyle w:val="ListParagraph"/>
      </w:pPr>
      <w:r w:rsidRPr="00244FC8">
        <w:t xml:space="preserve">Oligoarticular juvenile idiopathic </w:t>
      </w:r>
      <w:r w:rsidR="005D000A" w:rsidRPr="00244FC8">
        <w:t>arthritis</w:t>
      </w:r>
      <w:r w:rsidR="005D000A" w:rsidRPr="00244FC8">
        <w:rPr>
          <w:vertAlign w:val="superscript"/>
        </w:rPr>
        <w:t>2</w:t>
      </w:r>
      <w:r w:rsidR="005866BE">
        <w:rPr>
          <w:vertAlign w:val="superscript"/>
        </w:rPr>
        <w:t>5</w:t>
      </w:r>
      <w:r w:rsidRPr="00244FC8">
        <w:rPr>
          <w:vertAlign w:val="superscript"/>
        </w:rPr>
        <w:t>,</w:t>
      </w:r>
      <w:r w:rsidR="00D37F99">
        <w:rPr>
          <w:vertAlign w:val="superscript"/>
        </w:rPr>
        <w:t>5</w:t>
      </w:r>
      <w:r w:rsidR="005866BE">
        <w:rPr>
          <w:vertAlign w:val="superscript"/>
        </w:rPr>
        <w:t>7</w:t>
      </w:r>
    </w:p>
    <w:p w14:paraId="72C5FF5E" w14:textId="00FD61AB" w:rsidR="00013AB9" w:rsidRPr="00244FC8" w:rsidRDefault="00013AB9" w:rsidP="00013AB9">
      <w:pPr>
        <w:pStyle w:val="ListParagraph"/>
      </w:pPr>
      <w:r w:rsidRPr="00244FC8">
        <w:t xml:space="preserve">Immune checkpoint inhibitor-related toxicity- inflammatory </w:t>
      </w:r>
      <w:r w:rsidR="005D000A" w:rsidRPr="00244FC8">
        <w:t>arthritis</w:t>
      </w:r>
      <w:r w:rsidR="005D000A" w:rsidRPr="00244FC8">
        <w:rPr>
          <w:vertAlign w:val="superscript"/>
        </w:rPr>
        <w:t>5</w:t>
      </w:r>
      <w:r w:rsidR="005866BE">
        <w:rPr>
          <w:vertAlign w:val="superscript"/>
        </w:rPr>
        <w:t>3</w:t>
      </w:r>
    </w:p>
    <w:p w14:paraId="05A3A97A" w14:textId="784CDE85" w:rsidR="001B7A6C" w:rsidRDefault="009A5649" w:rsidP="009A5649">
      <w:pPr>
        <w:pStyle w:val="BodyText"/>
        <w:rPr>
          <w:rFonts w:eastAsia="Arial"/>
        </w:rPr>
      </w:pPr>
      <w:r w:rsidRPr="00BD1CC1">
        <w:t xml:space="preserve">All other indications are considered experimental/investigational and </w:t>
      </w:r>
      <w:r w:rsidRPr="00BD1CC1">
        <w:rPr>
          <w:rFonts w:eastAsia="Arial"/>
        </w:rPr>
        <w:t>not medically necessary.</w:t>
      </w:r>
    </w:p>
    <w:p w14:paraId="3BBD4906" w14:textId="68B2FC4B" w:rsidR="008C1274" w:rsidRPr="008C1274" w:rsidRDefault="008C1274" w:rsidP="008C1274">
      <w:pPr>
        <w:keepNext/>
        <w:tabs>
          <w:tab w:val="left" w:pos="2880"/>
        </w:tabs>
        <w:spacing w:before="480" w:after="120"/>
        <w:outlineLvl w:val="1"/>
        <w:rPr>
          <w:rFonts w:cs="Arial"/>
          <w:b/>
          <w:bCs/>
          <w:sz w:val="40"/>
          <w:szCs w:val="24"/>
        </w:rPr>
      </w:pPr>
      <w:r w:rsidRPr="008C1274">
        <w:rPr>
          <w:rFonts w:cs="Arial"/>
          <w:b/>
          <w:bCs/>
          <w:sz w:val="40"/>
          <w:szCs w:val="24"/>
        </w:rPr>
        <w:t>Documentation</w:t>
      </w:r>
    </w:p>
    <w:p w14:paraId="657AB4B9" w14:textId="151E7F6B" w:rsidR="001B7A6C" w:rsidRDefault="000D2496" w:rsidP="000D2496">
      <w:pPr>
        <w:pStyle w:val="BodyText"/>
      </w:pPr>
      <w:r w:rsidRPr="00BD1CC1">
        <w:t>Submission of the following information is necessary to initiate the prior authorization review:</w:t>
      </w:r>
    </w:p>
    <w:p w14:paraId="24436277" w14:textId="0FC31C73" w:rsidR="00013AB9" w:rsidRDefault="00013AB9" w:rsidP="00013AB9">
      <w:pPr>
        <w:pStyle w:val="Heading3"/>
      </w:pPr>
      <w:r>
        <w:lastRenderedPageBreak/>
        <w:t>Rheumatoid arthritis (RA)</w:t>
      </w:r>
    </w:p>
    <w:p w14:paraId="585C77C3" w14:textId="0E3DADFD" w:rsidR="00013AB9" w:rsidRDefault="00013AB9" w:rsidP="00013AB9">
      <w:pPr>
        <w:pStyle w:val="Heading4"/>
      </w:pPr>
      <w:r>
        <w:t>Initial requests</w:t>
      </w:r>
    </w:p>
    <w:p w14:paraId="2F73F972" w14:textId="4A28135C" w:rsidR="001B7A6C" w:rsidRPr="00712D7E" w:rsidRDefault="00013AB9" w:rsidP="000D5F54">
      <w:pPr>
        <w:pStyle w:val="ListParagraph"/>
        <w:numPr>
          <w:ilvl w:val="0"/>
          <w:numId w:val="59"/>
        </w:numPr>
      </w:pPr>
      <w:r w:rsidRPr="00712D7E">
        <w:t>Chart notes, medical record documentation, or claims history supporting previous medications tried (if applicable), including response to therapy. If therapy is not advisable, documentation of clinical reason to avoid therapy.</w:t>
      </w:r>
    </w:p>
    <w:p w14:paraId="72DB9268" w14:textId="3B9A87EE" w:rsidR="00013AB9" w:rsidRPr="004C77D4" w:rsidRDefault="00013AB9" w:rsidP="000D5F54">
      <w:pPr>
        <w:pStyle w:val="ListParagraph"/>
        <w:numPr>
          <w:ilvl w:val="0"/>
          <w:numId w:val="59"/>
        </w:numPr>
      </w:pPr>
      <w:r w:rsidRPr="004C77D4">
        <w:t>Laboratory results, chart notes, or medical record documentation of biomarker testing (i.e., rheumatoid factor [RF], anti-cyclic citrullinated peptide [anti-CCP], and C-reactive protein [CRP] and/or erythrocyte sedimentation rate [ESR]) (if applicable).</w:t>
      </w:r>
    </w:p>
    <w:p w14:paraId="48C1C15E" w14:textId="4B7F33CA" w:rsidR="00013AB9" w:rsidRDefault="00013AB9" w:rsidP="00013AB9">
      <w:pPr>
        <w:pStyle w:val="Heading4"/>
      </w:pPr>
      <w:r w:rsidRPr="00013AB9">
        <w:t>Continuation requests</w:t>
      </w:r>
    </w:p>
    <w:p w14:paraId="10148EC9" w14:textId="27592AB7" w:rsidR="00013AB9" w:rsidRPr="004C77D4" w:rsidRDefault="00013AB9" w:rsidP="002E45CD">
      <w:pPr>
        <w:pStyle w:val="BodyText"/>
      </w:pPr>
      <w:r w:rsidRPr="004C77D4">
        <w:t>Chart notes or medical record documentation supporting positive clinical response.</w:t>
      </w:r>
    </w:p>
    <w:p w14:paraId="19C7738B" w14:textId="48349D4E" w:rsidR="00013AB9" w:rsidRDefault="00013AB9" w:rsidP="00013AB9">
      <w:pPr>
        <w:pStyle w:val="Heading3"/>
      </w:pPr>
      <w:r>
        <w:t>Articular juvenile idiopathic arthritis (JIA)</w:t>
      </w:r>
    </w:p>
    <w:p w14:paraId="5EB1A755" w14:textId="69F2AC83" w:rsidR="008C1274" w:rsidRPr="00C062CA" w:rsidRDefault="008C1274" w:rsidP="008C1274">
      <w:pPr>
        <w:pStyle w:val="Heading4"/>
      </w:pPr>
      <w:r w:rsidRPr="00C062CA">
        <w:t>Initial requests</w:t>
      </w:r>
    </w:p>
    <w:p w14:paraId="13A85186" w14:textId="029BF128" w:rsidR="00013AB9" w:rsidRPr="00F83075" w:rsidRDefault="00013AB9" w:rsidP="002E45CD">
      <w:pPr>
        <w:pStyle w:val="BodyText"/>
      </w:pPr>
      <w:r w:rsidRPr="00F83075">
        <w:t>Chart notes, medical record documentation, or claims history supporting previous medications tried (if applicable), including response to therapy.</w:t>
      </w:r>
    </w:p>
    <w:p w14:paraId="39F3D9B8" w14:textId="1DD11F85" w:rsidR="008C1274" w:rsidRDefault="008C1274" w:rsidP="008C1274">
      <w:pPr>
        <w:pStyle w:val="Heading4"/>
      </w:pPr>
      <w:r w:rsidRPr="00013AB9">
        <w:t>Continuation requests</w:t>
      </w:r>
    </w:p>
    <w:p w14:paraId="3B4C33BB" w14:textId="360D913C" w:rsidR="00013AB9" w:rsidRPr="00F83075" w:rsidRDefault="00013AB9" w:rsidP="002E45CD">
      <w:pPr>
        <w:pStyle w:val="BodyText"/>
      </w:pPr>
      <w:r w:rsidRPr="00F83075">
        <w:t>Chart notes or medical record documentation supporting positive clinical response.</w:t>
      </w:r>
    </w:p>
    <w:p w14:paraId="6986F55B" w14:textId="3E583C74" w:rsidR="00013AB9" w:rsidRDefault="00013AB9" w:rsidP="00013AB9">
      <w:pPr>
        <w:pStyle w:val="Heading3"/>
      </w:pPr>
      <w:r>
        <w:t xml:space="preserve">Ankylosing spondylitis (AS), non-radiographic axial </w:t>
      </w:r>
      <w:proofErr w:type="spellStart"/>
      <w:r>
        <w:t>spondyloarthritis</w:t>
      </w:r>
      <w:proofErr w:type="spellEnd"/>
      <w:r>
        <w:t xml:space="preserve"> (nr-</w:t>
      </w:r>
      <w:proofErr w:type="spellStart"/>
      <w:r>
        <w:t>axSpA</w:t>
      </w:r>
      <w:proofErr w:type="spellEnd"/>
      <w:r>
        <w:t>), psoriatic arthritis (PsA), hidradenitis suppurativa, uveitis (non-infectious intermediate, posterior and panuveitis), and immune checkpoint inhibitor-related toxicity</w:t>
      </w:r>
    </w:p>
    <w:p w14:paraId="11DA97A6" w14:textId="28B59D3B" w:rsidR="0030576C" w:rsidRPr="00C062CA" w:rsidRDefault="0030576C" w:rsidP="0030576C">
      <w:pPr>
        <w:pStyle w:val="Heading4"/>
      </w:pPr>
      <w:r w:rsidRPr="00C062CA">
        <w:t>Initial requests</w:t>
      </w:r>
    </w:p>
    <w:p w14:paraId="797F91AD" w14:textId="7A8ABFDC" w:rsidR="00013AB9" w:rsidRPr="00F83075" w:rsidRDefault="00013AB9" w:rsidP="002E45CD">
      <w:pPr>
        <w:pStyle w:val="BodyText"/>
      </w:pPr>
      <w:r w:rsidRPr="00F83075">
        <w:t>Chart notes, medical record documentation, or claims history supporting previous medications tried (if applicable), including response to therapy. If therapy is not advisable, documentation of clinical reason to avoid therapy.</w:t>
      </w:r>
    </w:p>
    <w:p w14:paraId="53144DE8" w14:textId="5A5DA7EA" w:rsidR="0030576C" w:rsidRDefault="0030576C" w:rsidP="0030576C">
      <w:pPr>
        <w:pStyle w:val="Heading4"/>
      </w:pPr>
      <w:r w:rsidRPr="00013AB9">
        <w:t>Continuation requests</w:t>
      </w:r>
    </w:p>
    <w:p w14:paraId="2E049016" w14:textId="2E359CB0" w:rsidR="00013AB9" w:rsidRPr="00F83075" w:rsidRDefault="00013AB9" w:rsidP="002E45CD">
      <w:pPr>
        <w:pStyle w:val="BodyText"/>
      </w:pPr>
      <w:r w:rsidRPr="00F83075">
        <w:t>Chart notes or medical record documentation supporting positive clinical response.</w:t>
      </w:r>
    </w:p>
    <w:p w14:paraId="4350D65D" w14:textId="7C20092D" w:rsidR="00013AB9" w:rsidRDefault="00013AB9" w:rsidP="00013AB9">
      <w:pPr>
        <w:pStyle w:val="Heading3"/>
      </w:pPr>
      <w:r>
        <w:t>Crohn’s disease (CD)</w:t>
      </w:r>
      <w:r w:rsidR="00641584">
        <w:t xml:space="preserve"> and ulcerative colitis (UC)</w:t>
      </w:r>
    </w:p>
    <w:p w14:paraId="1956F60A" w14:textId="55FFA0C9" w:rsidR="0030576C" w:rsidRDefault="0030576C" w:rsidP="0030576C">
      <w:pPr>
        <w:pStyle w:val="Heading4"/>
      </w:pPr>
      <w:r w:rsidRPr="00013AB9">
        <w:t>Continuation requests</w:t>
      </w:r>
    </w:p>
    <w:p w14:paraId="0F3C8EAC" w14:textId="4D6571E8" w:rsidR="00013AB9" w:rsidRDefault="00013AB9" w:rsidP="000E738D">
      <w:pPr>
        <w:pStyle w:val="BodyText"/>
      </w:pPr>
      <w:r>
        <w:t>Chart notes or medical record documentation supporting positive clinical response to therapy or remission.</w:t>
      </w:r>
    </w:p>
    <w:p w14:paraId="06A4B27F" w14:textId="37225C46" w:rsidR="00013AB9" w:rsidRDefault="00013AB9" w:rsidP="00013AB9">
      <w:pPr>
        <w:pStyle w:val="Heading3"/>
      </w:pPr>
      <w:r>
        <w:lastRenderedPageBreak/>
        <w:t>Plaque psoriasis (</w:t>
      </w:r>
      <w:proofErr w:type="spellStart"/>
      <w:r>
        <w:t>PsO</w:t>
      </w:r>
      <w:proofErr w:type="spellEnd"/>
      <w:r>
        <w:t>)</w:t>
      </w:r>
    </w:p>
    <w:p w14:paraId="56CA1E30" w14:textId="7AB2E371" w:rsidR="00013AB9" w:rsidRDefault="00013AB9" w:rsidP="00013AB9">
      <w:pPr>
        <w:pStyle w:val="Heading4"/>
      </w:pPr>
      <w:r>
        <w:t>Initial requests</w:t>
      </w:r>
    </w:p>
    <w:p w14:paraId="59FF2AF4" w14:textId="77777777" w:rsidR="00013AB9" w:rsidRPr="000E738D" w:rsidRDefault="00013AB9" w:rsidP="0050044C">
      <w:pPr>
        <w:pStyle w:val="ListParagraph"/>
        <w:numPr>
          <w:ilvl w:val="0"/>
          <w:numId w:val="26"/>
        </w:numPr>
      </w:pPr>
      <w:r w:rsidRPr="000E738D">
        <w:t>Chart notes or medical record documentation of affected area(s) and body surface area (BSA) affected (if applicable).</w:t>
      </w:r>
    </w:p>
    <w:p w14:paraId="19AA0ED8" w14:textId="2D1FB2DA" w:rsidR="00013AB9" w:rsidRPr="000E738D" w:rsidRDefault="00013AB9" w:rsidP="0050044C">
      <w:pPr>
        <w:pStyle w:val="ListParagraph"/>
        <w:numPr>
          <w:ilvl w:val="0"/>
          <w:numId w:val="26"/>
        </w:numPr>
      </w:pPr>
      <w:r w:rsidRPr="000E738D">
        <w:t>Chart notes, medical record documentation, or claims history supporting previous medications tried (if applicable), including response to therapy. If therapy is not advisable, documentation of clinical reason to avoid therapy.</w:t>
      </w:r>
    </w:p>
    <w:p w14:paraId="597DEA3F" w14:textId="3BCC53BF" w:rsidR="00013AB9" w:rsidRDefault="00013AB9" w:rsidP="00013AB9">
      <w:pPr>
        <w:pStyle w:val="Heading4"/>
      </w:pPr>
      <w:r w:rsidRPr="00013AB9">
        <w:t>Continuation requests</w:t>
      </w:r>
    </w:p>
    <w:p w14:paraId="17EA823C" w14:textId="729FEE6A" w:rsidR="00013AB9" w:rsidRPr="000E738D" w:rsidRDefault="00013AB9" w:rsidP="002E45CD">
      <w:pPr>
        <w:pStyle w:val="BodyText"/>
      </w:pPr>
      <w:r w:rsidRPr="000E738D">
        <w:t>Chart notes or medical record documentation of decreased body surface area (BSA) affected and/or improvement in signs and symptoms.</w:t>
      </w:r>
    </w:p>
    <w:p w14:paraId="4B1FF61F" w14:textId="05A047FD" w:rsidR="00013AB9" w:rsidRDefault="00013AB9" w:rsidP="00013AB9">
      <w:pPr>
        <w:pStyle w:val="Heading3"/>
      </w:pPr>
      <w:r>
        <w:t>Behcet’s disease</w:t>
      </w:r>
    </w:p>
    <w:p w14:paraId="4BFDE413" w14:textId="68F64773" w:rsidR="00013AB9" w:rsidRDefault="00013AB9" w:rsidP="000E738D">
      <w:pPr>
        <w:pStyle w:val="BodyText"/>
      </w:pPr>
      <w:r>
        <w:t>Chart notes, medical record documentation, or claims history supporting previous medications tried, including response to therapy (if applicable).</w:t>
      </w:r>
    </w:p>
    <w:p w14:paraId="12383DEE" w14:textId="3B6764CD" w:rsidR="00013AB9" w:rsidRDefault="00013AB9" w:rsidP="00013AB9">
      <w:pPr>
        <w:pStyle w:val="Heading3"/>
      </w:pPr>
      <w:r>
        <w:t>Pyoderma gangrenosum (initial requests only)</w:t>
      </w:r>
    </w:p>
    <w:p w14:paraId="0FB89D4F" w14:textId="75066AB3" w:rsidR="00013AB9" w:rsidRPr="00013AB9" w:rsidRDefault="00013AB9" w:rsidP="000E738D">
      <w:pPr>
        <w:pStyle w:val="BodyText"/>
      </w:pPr>
      <w:r>
        <w:t>Chart notes, medical record documentation, or claims history supporting previous medications tried (if applicable), including response to therapy. If therapy is not advisable, documentation of clinical reason to avoid therapy.</w:t>
      </w:r>
    </w:p>
    <w:p w14:paraId="799004CC" w14:textId="3C3978D0" w:rsidR="0030576C" w:rsidRPr="00AA1E6A" w:rsidRDefault="0030576C" w:rsidP="0030576C">
      <w:pPr>
        <w:pStyle w:val="Heading2"/>
      </w:pPr>
      <w:r w:rsidRPr="00BD1CC1">
        <w:t>Prescriber Specialties</w:t>
      </w:r>
    </w:p>
    <w:p w14:paraId="3339DD5A" w14:textId="77777777" w:rsidR="00006174" w:rsidRDefault="00006174" w:rsidP="00006174">
      <w:pPr>
        <w:pStyle w:val="BodyText"/>
      </w:pPr>
      <w:r w:rsidRPr="00BD1CC1">
        <w:t>This medication must be prescribed by or in consultation with one of the following:</w:t>
      </w:r>
    </w:p>
    <w:p w14:paraId="1D950034" w14:textId="77777777" w:rsidR="00BF0F33" w:rsidRDefault="00BF0F33" w:rsidP="000D5F54">
      <w:pPr>
        <w:pStyle w:val="ListParagraph"/>
        <w:numPr>
          <w:ilvl w:val="0"/>
          <w:numId w:val="33"/>
        </w:numPr>
      </w:pPr>
      <w:r>
        <w:t>Rheumatoid arthritis, articular juvenile idiopathic arthritis, ankylosing spondylitis, non-radiographic axial spondyloarthritis, and Behcet’s disease: rheumatologist</w:t>
      </w:r>
    </w:p>
    <w:p w14:paraId="78358E79" w14:textId="5A9F3460" w:rsidR="00BF0F33" w:rsidRDefault="00BF0F33" w:rsidP="000D5F54">
      <w:pPr>
        <w:pStyle w:val="ListParagraph"/>
        <w:numPr>
          <w:ilvl w:val="0"/>
          <w:numId w:val="33"/>
        </w:numPr>
      </w:pPr>
      <w:r>
        <w:t xml:space="preserve">Psoriatic arthritis and hidradenitis </w:t>
      </w:r>
      <w:r w:rsidR="005D000A">
        <w:t>suppurativa</w:t>
      </w:r>
      <w:r>
        <w:t>: rheumatologist or dermatologist</w:t>
      </w:r>
    </w:p>
    <w:p w14:paraId="39A7BD84" w14:textId="77777777" w:rsidR="00BF0F33" w:rsidRDefault="00BF0F33" w:rsidP="000D5F54">
      <w:pPr>
        <w:pStyle w:val="ListParagraph"/>
        <w:numPr>
          <w:ilvl w:val="0"/>
          <w:numId w:val="33"/>
        </w:numPr>
      </w:pPr>
      <w:r>
        <w:t>Crohn’s disease and ulcerative colitis: gastroenterologist</w:t>
      </w:r>
    </w:p>
    <w:p w14:paraId="731E556E" w14:textId="77777777" w:rsidR="00BF0F33" w:rsidRPr="004C77D4" w:rsidRDefault="00BF0F33" w:rsidP="000D5F54">
      <w:pPr>
        <w:pStyle w:val="ListParagraph"/>
        <w:numPr>
          <w:ilvl w:val="0"/>
          <w:numId w:val="33"/>
        </w:numPr>
        <w:rPr>
          <w:lang w:val="pt-BR"/>
        </w:rPr>
      </w:pPr>
      <w:r w:rsidRPr="004C77D4">
        <w:rPr>
          <w:lang w:val="pt-BR"/>
        </w:rPr>
        <w:t>Plaque psoriasis and pyoderma gangrenosum: dermatologist</w:t>
      </w:r>
    </w:p>
    <w:p w14:paraId="6DC04D0D" w14:textId="77777777" w:rsidR="00BF0F33" w:rsidRDefault="00BF0F33" w:rsidP="000D5F54">
      <w:pPr>
        <w:pStyle w:val="ListParagraph"/>
        <w:numPr>
          <w:ilvl w:val="0"/>
          <w:numId w:val="33"/>
        </w:numPr>
      </w:pPr>
      <w:r>
        <w:t>Uveitis: ophthalmologist or rheumatologist</w:t>
      </w:r>
    </w:p>
    <w:p w14:paraId="1D000AF6" w14:textId="0558E1BD" w:rsidR="00BF0F33" w:rsidRPr="00BD1CC1" w:rsidRDefault="00BF0F33" w:rsidP="000D5F54">
      <w:pPr>
        <w:pStyle w:val="ListParagraph"/>
        <w:numPr>
          <w:ilvl w:val="0"/>
          <w:numId w:val="33"/>
        </w:numPr>
      </w:pPr>
      <w:r>
        <w:t>Immune checkpoint inhibitor-related toxicity: oncologist, hematologist, or rheumatologist</w:t>
      </w:r>
    </w:p>
    <w:p w14:paraId="50A38FBA" w14:textId="1A505C74" w:rsidR="00FE0C63" w:rsidRDefault="00685107" w:rsidP="00E050E1">
      <w:pPr>
        <w:pStyle w:val="Heading2"/>
      </w:pPr>
      <w:r>
        <w:t>Coverage Criteria</w:t>
      </w:r>
    </w:p>
    <w:p w14:paraId="0EFA87A4" w14:textId="7E91D908" w:rsidR="00BF0F33" w:rsidRDefault="00BF0F33" w:rsidP="00BF0F33">
      <w:pPr>
        <w:pStyle w:val="Heading3"/>
      </w:pPr>
      <w:r w:rsidRPr="00BF0F33">
        <w:t>Rheumatoid arthritis (RA)</w:t>
      </w:r>
      <w:r w:rsidRPr="006C1AD3">
        <w:rPr>
          <w:vertAlign w:val="superscript"/>
        </w:rPr>
        <w:t>1</w:t>
      </w:r>
      <w:r w:rsidRPr="008A77A1">
        <w:rPr>
          <w:vertAlign w:val="superscript"/>
        </w:rPr>
        <w:t>-</w:t>
      </w:r>
      <w:r w:rsidR="005D000A" w:rsidRPr="008A77A1">
        <w:rPr>
          <w:vertAlign w:val="superscript"/>
        </w:rPr>
        <w:t>1</w:t>
      </w:r>
      <w:r w:rsidR="005866BE">
        <w:rPr>
          <w:vertAlign w:val="superscript"/>
        </w:rPr>
        <w:t>9</w:t>
      </w:r>
      <w:r w:rsidRPr="008A77A1">
        <w:rPr>
          <w:vertAlign w:val="superscript"/>
        </w:rPr>
        <w:t>,2</w:t>
      </w:r>
      <w:r w:rsidR="005866BE">
        <w:rPr>
          <w:vertAlign w:val="superscript"/>
        </w:rPr>
        <w:t>2</w:t>
      </w:r>
      <w:r w:rsidRPr="008A77A1">
        <w:rPr>
          <w:vertAlign w:val="superscript"/>
        </w:rPr>
        <w:t>-2</w:t>
      </w:r>
      <w:r w:rsidR="005866BE">
        <w:rPr>
          <w:vertAlign w:val="superscript"/>
        </w:rPr>
        <w:t>4</w:t>
      </w:r>
      <w:r w:rsidRPr="008A77A1">
        <w:rPr>
          <w:vertAlign w:val="superscript"/>
        </w:rPr>
        <w:t>,</w:t>
      </w:r>
      <w:r w:rsidR="00D21517">
        <w:rPr>
          <w:vertAlign w:val="superscript"/>
        </w:rPr>
        <w:t>4</w:t>
      </w:r>
      <w:r w:rsidR="005866BE">
        <w:rPr>
          <w:vertAlign w:val="superscript"/>
        </w:rPr>
        <w:t>8</w:t>
      </w:r>
      <w:r w:rsidR="00D21517">
        <w:rPr>
          <w:vertAlign w:val="superscript"/>
        </w:rPr>
        <w:t>,</w:t>
      </w:r>
      <w:r w:rsidR="005D000A" w:rsidRPr="000D5F54">
        <w:rPr>
          <w:vertAlign w:val="superscript"/>
        </w:rPr>
        <w:t>5</w:t>
      </w:r>
      <w:r w:rsidR="005866BE">
        <w:rPr>
          <w:vertAlign w:val="superscript"/>
        </w:rPr>
        <w:t>2</w:t>
      </w:r>
      <w:r w:rsidR="005D000A" w:rsidRPr="000D5F54">
        <w:rPr>
          <w:vertAlign w:val="superscript"/>
        </w:rPr>
        <w:t>,</w:t>
      </w:r>
      <w:r w:rsidR="00D21517">
        <w:rPr>
          <w:vertAlign w:val="superscript"/>
        </w:rPr>
        <w:t>5</w:t>
      </w:r>
      <w:r w:rsidR="005866BE">
        <w:rPr>
          <w:vertAlign w:val="superscript"/>
        </w:rPr>
        <w:t>5</w:t>
      </w:r>
    </w:p>
    <w:p w14:paraId="6CB5513E" w14:textId="55EA84F1" w:rsidR="00BF0F33" w:rsidRDefault="00BF0F33" w:rsidP="00BF0F33">
      <w:pPr>
        <w:pStyle w:val="BodyText"/>
      </w:pPr>
      <w:r>
        <w:lastRenderedPageBreak/>
        <w:t>Authorization of 12 months may be granted for adult members who have previously received a biologic or targeted synthetic drug (e.g., Rinvoq, Xeljanz) indicated for moderately to severely active rheumatoid arthritis</w:t>
      </w:r>
      <w:r w:rsidR="009D77CA">
        <w:t xml:space="preserve"> within the past 120 days</w:t>
      </w:r>
      <w:r>
        <w:t>.</w:t>
      </w:r>
    </w:p>
    <w:p w14:paraId="380C480B" w14:textId="6A6C1E66" w:rsidR="00BF0F33" w:rsidRDefault="00BF0F33" w:rsidP="00BF0F33">
      <w:pPr>
        <w:pStyle w:val="BodyText"/>
      </w:pPr>
      <w:r>
        <w:t>Authorization of 12 months may be granted for adult members for treatment of moderately to severely active RA when both of the following criteria are met:</w:t>
      </w:r>
    </w:p>
    <w:p w14:paraId="4679A176" w14:textId="178593CD" w:rsidR="00BF0F33" w:rsidRDefault="00BF0F33" w:rsidP="000D5F54">
      <w:pPr>
        <w:pStyle w:val="ListParagraph"/>
        <w:numPr>
          <w:ilvl w:val="0"/>
          <w:numId w:val="34"/>
        </w:numPr>
      </w:pPr>
      <w:r>
        <w:t>Member meets either of the following:</w:t>
      </w:r>
    </w:p>
    <w:p w14:paraId="3EC9B6C9" w14:textId="2C4E1F71" w:rsidR="00BF0F33" w:rsidRPr="00AE4743" w:rsidRDefault="00BF0F33" w:rsidP="00814E64">
      <w:pPr>
        <w:pStyle w:val="ListParagraph"/>
        <w:numPr>
          <w:ilvl w:val="1"/>
          <w:numId w:val="20"/>
        </w:numPr>
      </w:pPr>
      <w:r w:rsidRPr="00AE4743">
        <w:t>Member has been tested for either of the following biomarkers and the test was positive:</w:t>
      </w:r>
    </w:p>
    <w:p w14:paraId="04860C73" w14:textId="7FFD7E6A" w:rsidR="001B7A6C" w:rsidRPr="00AE4743" w:rsidRDefault="00BF0F33" w:rsidP="00814E64">
      <w:pPr>
        <w:pStyle w:val="ListParagraph"/>
        <w:numPr>
          <w:ilvl w:val="2"/>
          <w:numId w:val="20"/>
        </w:numPr>
      </w:pPr>
      <w:r w:rsidRPr="00AE4743">
        <w:t>Rheumatoid factor (RF)</w:t>
      </w:r>
    </w:p>
    <w:p w14:paraId="4E7F6326" w14:textId="0A22FB4F" w:rsidR="00BF0F33" w:rsidRPr="00AE4743" w:rsidRDefault="00BF0F33" w:rsidP="00814E64">
      <w:pPr>
        <w:pStyle w:val="ListParagraph"/>
        <w:numPr>
          <w:ilvl w:val="2"/>
          <w:numId w:val="20"/>
        </w:numPr>
      </w:pPr>
      <w:r w:rsidRPr="00AE4743">
        <w:t>Anti-cyclic citrullinated peptide (anti-CCP)</w:t>
      </w:r>
    </w:p>
    <w:p w14:paraId="1943E38A" w14:textId="2A67B9E8" w:rsidR="00BF0F33" w:rsidRPr="00AE4743" w:rsidRDefault="00BF0F33" w:rsidP="00814E64">
      <w:pPr>
        <w:pStyle w:val="ListParagraph"/>
        <w:numPr>
          <w:ilvl w:val="1"/>
          <w:numId w:val="20"/>
        </w:numPr>
      </w:pPr>
      <w:r w:rsidRPr="00AE4743">
        <w:t>Member has been tested for ALL of the following biomarkers:</w:t>
      </w:r>
    </w:p>
    <w:p w14:paraId="34A0C4CD" w14:textId="77777777" w:rsidR="00BF0F33" w:rsidRPr="00AE4743" w:rsidRDefault="00BF0F33" w:rsidP="00814E64">
      <w:pPr>
        <w:pStyle w:val="ListParagraph"/>
        <w:numPr>
          <w:ilvl w:val="2"/>
          <w:numId w:val="20"/>
        </w:numPr>
      </w:pPr>
      <w:r w:rsidRPr="00AE4743">
        <w:t>RF</w:t>
      </w:r>
    </w:p>
    <w:p w14:paraId="16AAB0A9" w14:textId="77777777" w:rsidR="00BF0F33" w:rsidRPr="00AE4743" w:rsidRDefault="00BF0F33" w:rsidP="00814E64">
      <w:pPr>
        <w:pStyle w:val="ListParagraph"/>
        <w:numPr>
          <w:ilvl w:val="2"/>
          <w:numId w:val="20"/>
        </w:numPr>
      </w:pPr>
      <w:r w:rsidRPr="00AE4743">
        <w:t>Anti-CCP</w:t>
      </w:r>
    </w:p>
    <w:p w14:paraId="56A3B61D" w14:textId="2D48021C" w:rsidR="00BF0F33" w:rsidRPr="00AE4743" w:rsidRDefault="00BF0F33" w:rsidP="00814E64">
      <w:pPr>
        <w:pStyle w:val="ListParagraph"/>
        <w:numPr>
          <w:ilvl w:val="2"/>
          <w:numId w:val="20"/>
        </w:numPr>
      </w:pPr>
      <w:r w:rsidRPr="00AE4743">
        <w:t>C-reactive protein (CRP) and/or erythrocyte sedimentation rate (ESR)</w:t>
      </w:r>
    </w:p>
    <w:p w14:paraId="784CB4CD" w14:textId="3073EC9A" w:rsidR="00BF0F33" w:rsidRPr="00AE4743" w:rsidRDefault="00BF0F33" w:rsidP="00814E64">
      <w:pPr>
        <w:pStyle w:val="ListParagraph"/>
      </w:pPr>
      <w:r w:rsidRPr="00AE4743">
        <w:t xml:space="preserve">Member meets </w:t>
      </w:r>
      <w:r w:rsidR="009D77CA" w:rsidRPr="00AE4743">
        <w:t>ONE</w:t>
      </w:r>
      <w:r w:rsidRPr="00AE4743">
        <w:t xml:space="preserve"> of the following:</w:t>
      </w:r>
    </w:p>
    <w:p w14:paraId="2C1D9B51" w14:textId="15D234EF" w:rsidR="009D77CA" w:rsidRPr="00AE4743" w:rsidRDefault="009D77CA" w:rsidP="00814E64">
      <w:pPr>
        <w:pStyle w:val="ListParagraph"/>
        <w:numPr>
          <w:ilvl w:val="1"/>
          <w:numId w:val="20"/>
        </w:numPr>
      </w:pPr>
      <w:r w:rsidRPr="00AE4743">
        <w:t>Member has failed to achieve a low disease activity after a 3-month trial of methotrexate (MTX) monotherapy at a maximum titrated dose of at least 15 mg per week and meets any of the following conditions:</w:t>
      </w:r>
    </w:p>
    <w:p w14:paraId="28723733" w14:textId="46A7E720" w:rsidR="009D77CA" w:rsidRPr="00AE4743" w:rsidRDefault="009D77CA" w:rsidP="00814E64">
      <w:pPr>
        <w:pStyle w:val="ListParagraph"/>
        <w:numPr>
          <w:ilvl w:val="2"/>
          <w:numId w:val="20"/>
        </w:numPr>
      </w:pPr>
      <w:r w:rsidRPr="00AE4743">
        <w:t>Member has had a documented inadequate response to MTX in combination with at least one other conventional synthetic drug (i.e., hydroxychloroquine and/or sulfasalazine) after a 3-month trial at a maximum tolerated dose(s).</w:t>
      </w:r>
    </w:p>
    <w:p w14:paraId="377B85E1" w14:textId="5BBE06D3" w:rsidR="009D77CA" w:rsidRPr="00AE4743" w:rsidRDefault="009D77CA" w:rsidP="00814E64">
      <w:pPr>
        <w:pStyle w:val="ListParagraph"/>
        <w:numPr>
          <w:ilvl w:val="2"/>
          <w:numId w:val="20"/>
        </w:numPr>
      </w:pPr>
      <w:r w:rsidRPr="00AE4743">
        <w:t>Member has experienced a documented intolerable adverse event to hydroxychloroquine or sulfasalazine.</w:t>
      </w:r>
    </w:p>
    <w:p w14:paraId="19A4C001" w14:textId="27DF7FD6" w:rsidR="009D77CA" w:rsidRPr="00AE4743" w:rsidRDefault="009D77CA" w:rsidP="00814E64">
      <w:pPr>
        <w:pStyle w:val="ListParagraph"/>
        <w:numPr>
          <w:ilvl w:val="2"/>
          <w:numId w:val="20"/>
        </w:numPr>
      </w:pPr>
      <w:r w:rsidRPr="00AE4743">
        <w:t>Member has a documented contraindication to hydroxychloroquine (see Appendix A) and sulfasalazine (e.g., porphyria, intestinal or urinary obstruction).</w:t>
      </w:r>
    </w:p>
    <w:p w14:paraId="4604BEAC" w14:textId="3E4DF8AD" w:rsidR="009D77CA" w:rsidRPr="00AE4743" w:rsidRDefault="009D77CA" w:rsidP="00814E64">
      <w:pPr>
        <w:pStyle w:val="ListParagraph"/>
        <w:numPr>
          <w:ilvl w:val="2"/>
          <w:numId w:val="20"/>
        </w:numPr>
      </w:pPr>
      <w:r w:rsidRPr="00AE4743">
        <w:t>Member has moderate to high disease activity.</w:t>
      </w:r>
    </w:p>
    <w:p w14:paraId="4AA88063" w14:textId="14CD7B63" w:rsidR="009D77CA" w:rsidRPr="00AE4743" w:rsidRDefault="00504745" w:rsidP="00814E64">
      <w:pPr>
        <w:pStyle w:val="ListParagraph"/>
        <w:numPr>
          <w:ilvl w:val="1"/>
          <w:numId w:val="20"/>
        </w:numPr>
      </w:pPr>
      <w:r w:rsidRPr="00AE4743">
        <w:t>Member was unable to tolerate a 3-month trial of MTX monotherapy at a maximum titrated dose of at least 15 mg per week and meets any of the following conditions:</w:t>
      </w:r>
    </w:p>
    <w:p w14:paraId="59199ED8" w14:textId="50798BF2" w:rsidR="00504745" w:rsidRPr="00AE4743" w:rsidRDefault="00504745" w:rsidP="00814E64">
      <w:pPr>
        <w:pStyle w:val="ListParagraph"/>
        <w:numPr>
          <w:ilvl w:val="2"/>
          <w:numId w:val="20"/>
        </w:numPr>
      </w:pPr>
      <w:r w:rsidRPr="00AE4743">
        <w:t>Member has had a documented inadequate response to MTX in combination with at least one other conventional synthetic drug (i.e., hydroxychloroquine and/or sulfasalazine) after a 3-month trial at a maximum tolerated dose(s).</w:t>
      </w:r>
    </w:p>
    <w:p w14:paraId="74EDA280" w14:textId="0BED5FC7" w:rsidR="00504745" w:rsidRPr="00AE4743" w:rsidRDefault="00504745" w:rsidP="00814E64">
      <w:pPr>
        <w:pStyle w:val="ListParagraph"/>
        <w:numPr>
          <w:ilvl w:val="2"/>
          <w:numId w:val="20"/>
        </w:numPr>
      </w:pPr>
      <w:r w:rsidRPr="00AE4743">
        <w:t>Member has stopped taking MTX and has had a documented inadequate response to another conventional synthetic drug (i.e., leflunomide, hydroxychloroquine, and/or sulfasalazine) alone or in combination after a 3-month</w:t>
      </w:r>
      <w:r w:rsidR="00DF4436" w:rsidRPr="00AE4743">
        <w:t xml:space="preserve"> trial at a maximum tolerated dose(s).</w:t>
      </w:r>
    </w:p>
    <w:p w14:paraId="71EBDBA9" w14:textId="431879C4" w:rsidR="00DF4436" w:rsidRPr="00AE4743" w:rsidRDefault="00DF4436" w:rsidP="00814E64">
      <w:pPr>
        <w:pStyle w:val="ListParagraph"/>
        <w:numPr>
          <w:ilvl w:val="2"/>
          <w:numId w:val="20"/>
        </w:numPr>
      </w:pPr>
      <w:r w:rsidRPr="00AE4743">
        <w:t>Member has experienced a documented intolerable adverse event to leflunomide, hydroxychloroquine, or sulfasa</w:t>
      </w:r>
      <w:r w:rsidR="006850EF">
        <w:t>la</w:t>
      </w:r>
      <w:r w:rsidRPr="00AE4743">
        <w:t>zine.</w:t>
      </w:r>
    </w:p>
    <w:p w14:paraId="25E80C5B" w14:textId="47B8DE6D" w:rsidR="00DF4436" w:rsidRPr="00AE4743" w:rsidRDefault="00DF4436" w:rsidP="00814E64">
      <w:pPr>
        <w:pStyle w:val="ListParagraph"/>
        <w:numPr>
          <w:ilvl w:val="2"/>
          <w:numId w:val="20"/>
        </w:numPr>
      </w:pPr>
      <w:r w:rsidRPr="00AE4743">
        <w:t>Member has a documented contraindication to leflunomide, hydroxychloroquine (see Appendix A), and sulfasalazine (e.g., porphyria, intestinal or urinary obstruction).</w:t>
      </w:r>
    </w:p>
    <w:p w14:paraId="65B71DA2" w14:textId="1A26BBC3" w:rsidR="00DF4436" w:rsidRPr="00AE4743" w:rsidRDefault="00DF4436" w:rsidP="00814E64">
      <w:pPr>
        <w:pStyle w:val="ListParagraph"/>
        <w:numPr>
          <w:ilvl w:val="2"/>
          <w:numId w:val="20"/>
        </w:numPr>
      </w:pPr>
      <w:r w:rsidRPr="00AE4743">
        <w:t>Member has moderate to high disease activity.</w:t>
      </w:r>
    </w:p>
    <w:p w14:paraId="6BE2AD6B" w14:textId="716730EB" w:rsidR="00DF4436" w:rsidRPr="00AE4743" w:rsidRDefault="001D2D06" w:rsidP="00814E64">
      <w:pPr>
        <w:pStyle w:val="ListParagraph"/>
        <w:numPr>
          <w:ilvl w:val="1"/>
          <w:numId w:val="20"/>
        </w:numPr>
      </w:pPr>
      <w:r w:rsidRPr="00AE4743">
        <w:lastRenderedPageBreak/>
        <w:t>Member has experienced a documented intolerable adverse event or has a documented contraindication to MTX (see Appendix A), discontinues MTX, and meets any of the following conditions:</w:t>
      </w:r>
    </w:p>
    <w:p w14:paraId="46B3CA44" w14:textId="7F6D3D02" w:rsidR="001D2D06" w:rsidRPr="00AE4743" w:rsidRDefault="001D2D06" w:rsidP="00814E64">
      <w:pPr>
        <w:pStyle w:val="ListParagraph"/>
        <w:numPr>
          <w:ilvl w:val="2"/>
          <w:numId w:val="20"/>
        </w:numPr>
      </w:pPr>
      <w:r w:rsidRPr="00AE4743">
        <w:t>Member has had a documented inadequate response to another conventional synthetic drug (i.e., leflunomide, hydroxychloroquine, and/or sulfasalazine) alone or in combination after a 3-month trial at a maximum tolerated dose(s).</w:t>
      </w:r>
    </w:p>
    <w:p w14:paraId="21A91943" w14:textId="48AC4026" w:rsidR="001D2D06" w:rsidRPr="00AE4743" w:rsidRDefault="001D2D06" w:rsidP="00814E64">
      <w:pPr>
        <w:pStyle w:val="ListParagraph"/>
        <w:numPr>
          <w:ilvl w:val="2"/>
          <w:numId w:val="20"/>
        </w:numPr>
      </w:pPr>
      <w:r w:rsidRPr="00AE4743">
        <w:t>Member has experienced a documented intolerable adverse event to leflunomide, hydroxychloroquine, or sulfasalazine.</w:t>
      </w:r>
    </w:p>
    <w:p w14:paraId="381F3D2C" w14:textId="70BB6AEE" w:rsidR="001D2D06" w:rsidRDefault="001D2D06" w:rsidP="00D1613E">
      <w:pPr>
        <w:pStyle w:val="ListParagraph"/>
        <w:numPr>
          <w:ilvl w:val="2"/>
          <w:numId w:val="20"/>
        </w:numPr>
      </w:pPr>
      <w:r w:rsidRPr="00AE4743">
        <w:t>Member has a documented contraindication to leflunomide, hydroxychloroquine (see Appendix A), and sulfasalazine (e.g., porphyria, intestinal or urinary obstruction).</w:t>
      </w:r>
    </w:p>
    <w:p w14:paraId="4C9225E6" w14:textId="437BED60" w:rsidR="00BF0F33" w:rsidRPr="00AE4743" w:rsidRDefault="00D1613E" w:rsidP="00814E64">
      <w:pPr>
        <w:pStyle w:val="ListParagraph"/>
        <w:ind w:left="2160"/>
      </w:pPr>
      <w:r>
        <w:t>Member has moderate to high disease activity.</w:t>
      </w:r>
    </w:p>
    <w:p w14:paraId="3AE870DD" w14:textId="2B11AB4A" w:rsidR="00BF0F33" w:rsidRDefault="00BF0F33" w:rsidP="00BF0F33">
      <w:pPr>
        <w:pStyle w:val="Heading3"/>
      </w:pPr>
      <w:r>
        <w:t>Articular juvenile idiopathic arthritis (JIA)</w:t>
      </w:r>
      <w:r w:rsidRPr="008A77A1">
        <w:rPr>
          <w:vertAlign w:val="superscript"/>
        </w:rPr>
        <w:t>1-</w:t>
      </w:r>
      <w:r w:rsidR="005D000A" w:rsidRPr="000D5F54">
        <w:rPr>
          <w:vertAlign w:val="superscript"/>
        </w:rPr>
        <w:t>1</w:t>
      </w:r>
      <w:r w:rsidR="005866BE">
        <w:rPr>
          <w:vertAlign w:val="superscript"/>
        </w:rPr>
        <w:t>9</w:t>
      </w:r>
      <w:r w:rsidR="005D000A" w:rsidRPr="000D5F54">
        <w:rPr>
          <w:vertAlign w:val="superscript"/>
        </w:rPr>
        <w:t>,</w:t>
      </w:r>
      <w:r w:rsidRPr="008A77A1">
        <w:rPr>
          <w:vertAlign w:val="superscript"/>
        </w:rPr>
        <w:t>2</w:t>
      </w:r>
      <w:r w:rsidR="005866BE">
        <w:rPr>
          <w:vertAlign w:val="superscript"/>
        </w:rPr>
        <w:t>5</w:t>
      </w:r>
      <w:r w:rsidR="001C6417">
        <w:rPr>
          <w:vertAlign w:val="superscript"/>
        </w:rPr>
        <w:t>,</w:t>
      </w:r>
      <w:r w:rsidR="007922D8">
        <w:rPr>
          <w:vertAlign w:val="superscript"/>
        </w:rPr>
        <w:t>5</w:t>
      </w:r>
      <w:r w:rsidR="005866BE">
        <w:rPr>
          <w:vertAlign w:val="superscript"/>
        </w:rPr>
        <w:t>7</w:t>
      </w:r>
    </w:p>
    <w:p w14:paraId="023E92C6" w14:textId="77777777" w:rsidR="00BF0F33" w:rsidRDefault="00BF0F33" w:rsidP="000E738D">
      <w:pPr>
        <w:pStyle w:val="BodyText"/>
      </w:pPr>
      <w:r>
        <w:t>Authorization of 12 months may be granted for members 2 years of age or older who have previously received a biologic or targeted synthetic drug (e.g., Xeljanz) indicated for moderately to severely active articular juvenile idiopathic arthritis.</w:t>
      </w:r>
    </w:p>
    <w:p w14:paraId="584E1BC5" w14:textId="26A24B2A" w:rsidR="00BF0F33" w:rsidRDefault="00BF0F33" w:rsidP="000E738D">
      <w:pPr>
        <w:pStyle w:val="BodyText"/>
      </w:pPr>
      <w:r>
        <w:t>Authorization of 12 months may be granted for members 2 years of age or older for treatment of moderately to severely active articular juvenile idiopathic arthritis when any of the following criteria is met:</w:t>
      </w:r>
    </w:p>
    <w:p w14:paraId="17F118DA" w14:textId="77777777" w:rsidR="00BF0F33" w:rsidRPr="00BF0F33" w:rsidRDefault="00BF0F33" w:rsidP="000D5F54">
      <w:pPr>
        <w:pStyle w:val="ListParagraph"/>
        <w:numPr>
          <w:ilvl w:val="0"/>
          <w:numId w:val="35"/>
        </w:numPr>
      </w:pPr>
      <w:r w:rsidRPr="00BF0F33">
        <w:t>Member has had an inadequate response to methotrexate or another conventional synthetic drug (e.g., leflunomide, sulfasalazine, hydroxychloroquine) administered at an adequate dose and duration.</w:t>
      </w:r>
    </w:p>
    <w:p w14:paraId="177C45BB" w14:textId="17532EF3" w:rsidR="00BF0F33" w:rsidRPr="00BF0F33" w:rsidRDefault="00BF0F33" w:rsidP="000D5F54">
      <w:pPr>
        <w:pStyle w:val="ListParagraph"/>
        <w:numPr>
          <w:ilvl w:val="0"/>
          <w:numId w:val="35"/>
        </w:numPr>
      </w:pPr>
      <w:r w:rsidRPr="00BF0F33">
        <w:t xml:space="preserve">Member has had an inadequate response to a trial of scheduled non-steroidal anti-inflammatory drugs (NSAIDs) and/or intra-articular glucocorticoids (e.g., triamcinolone </w:t>
      </w:r>
      <w:proofErr w:type="spellStart"/>
      <w:r w:rsidRPr="00BF0F33">
        <w:t>hexacetonide</w:t>
      </w:r>
      <w:proofErr w:type="spellEnd"/>
      <w:r w:rsidRPr="00BF0F33">
        <w:t>) and one of the following risk factors for poor outcome:</w:t>
      </w:r>
    </w:p>
    <w:p w14:paraId="2971B40D" w14:textId="77777777" w:rsidR="00BF0F33" w:rsidRDefault="00BF0F33" w:rsidP="000D5F54">
      <w:pPr>
        <w:pStyle w:val="ListParagraph"/>
        <w:numPr>
          <w:ilvl w:val="1"/>
          <w:numId w:val="35"/>
        </w:numPr>
      </w:pPr>
      <w:r>
        <w:t>Involvement of ankle, wrist, hip, sacroiliac joint, and/or temporomandibular joint (TMJ)</w:t>
      </w:r>
    </w:p>
    <w:p w14:paraId="0A152421" w14:textId="77777777" w:rsidR="00BF0F33" w:rsidRDefault="00BF0F33" w:rsidP="000D5F54">
      <w:pPr>
        <w:pStyle w:val="ListParagraph"/>
        <w:numPr>
          <w:ilvl w:val="1"/>
          <w:numId w:val="35"/>
        </w:numPr>
      </w:pPr>
      <w:r>
        <w:t>Presence of erosive disease or enthesitis</w:t>
      </w:r>
    </w:p>
    <w:p w14:paraId="6817AB73" w14:textId="77777777" w:rsidR="00BF0F33" w:rsidRDefault="00BF0F33" w:rsidP="000D5F54">
      <w:pPr>
        <w:pStyle w:val="ListParagraph"/>
        <w:numPr>
          <w:ilvl w:val="1"/>
          <w:numId w:val="35"/>
        </w:numPr>
      </w:pPr>
      <w:r>
        <w:t>Delay in diagnosis</w:t>
      </w:r>
    </w:p>
    <w:p w14:paraId="6F195415" w14:textId="77777777" w:rsidR="00BF0F33" w:rsidRDefault="00BF0F33" w:rsidP="000D5F54">
      <w:pPr>
        <w:pStyle w:val="ListParagraph"/>
        <w:numPr>
          <w:ilvl w:val="1"/>
          <w:numId w:val="35"/>
        </w:numPr>
      </w:pPr>
      <w:r>
        <w:t>Elevated levels of inflammation markers</w:t>
      </w:r>
    </w:p>
    <w:p w14:paraId="3288983F" w14:textId="39BBACC1" w:rsidR="00BF0F33" w:rsidRDefault="00BF0F33" w:rsidP="000D5F54">
      <w:pPr>
        <w:pStyle w:val="ListParagraph"/>
        <w:numPr>
          <w:ilvl w:val="1"/>
          <w:numId w:val="35"/>
        </w:numPr>
      </w:pPr>
      <w:r>
        <w:t>Symmetric disease</w:t>
      </w:r>
    </w:p>
    <w:p w14:paraId="3453F6B7" w14:textId="60043DE3" w:rsidR="00BF0F33" w:rsidRDefault="00BF0F33" w:rsidP="000D5F54">
      <w:pPr>
        <w:pStyle w:val="ListParagraph"/>
        <w:numPr>
          <w:ilvl w:val="0"/>
          <w:numId w:val="35"/>
        </w:numPr>
      </w:pPr>
      <w:r w:rsidRPr="00BF0F33">
        <w:t>Member has risk factors for disease severity and potentially a more refractory disease course (see Appendix B) and the member also meets one of the following:</w:t>
      </w:r>
    </w:p>
    <w:p w14:paraId="3AB44F07" w14:textId="77777777" w:rsidR="00BF0F33" w:rsidRDefault="00BF0F33" w:rsidP="000D5F54">
      <w:pPr>
        <w:pStyle w:val="ListParagraph"/>
        <w:numPr>
          <w:ilvl w:val="1"/>
          <w:numId w:val="35"/>
        </w:numPr>
      </w:pPr>
      <w:r>
        <w:t>High-risk joints are involved (e.g., cervical spine, wrist, or hip)</w:t>
      </w:r>
    </w:p>
    <w:p w14:paraId="32489364" w14:textId="77777777" w:rsidR="00BF0F33" w:rsidRDefault="00BF0F33" w:rsidP="000D5F54">
      <w:pPr>
        <w:pStyle w:val="ListParagraph"/>
        <w:numPr>
          <w:ilvl w:val="1"/>
          <w:numId w:val="35"/>
        </w:numPr>
      </w:pPr>
      <w:r>
        <w:t>High disease activity</w:t>
      </w:r>
    </w:p>
    <w:p w14:paraId="254B209F" w14:textId="77777777" w:rsidR="00BF0F33" w:rsidRDefault="00BF0F33" w:rsidP="000D5F54">
      <w:pPr>
        <w:pStyle w:val="ListParagraph"/>
        <w:numPr>
          <w:ilvl w:val="1"/>
          <w:numId w:val="35"/>
        </w:numPr>
      </w:pPr>
      <w:r>
        <w:t>Is judged to be at high risk for disabling joint disease</w:t>
      </w:r>
    </w:p>
    <w:p w14:paraId="03C7EF17" w14:textId="006CC15F" w:rsidR="00BF0F33" w:rsidRDefault="00BF0F33" w:rsidP="00BF0F33">
      <w:pPr>
        <w:pStyle w:val="Heading3"/>
      </w:pPr>
      <w:r w:rsidRPr="00BF0F33">
        <w:t>Psoriatic arthritis (PsA)</w:t>
      </w:r>
      <w:r w:rsidRPr="005B643F">
        <w:rPr>
          <w:vertAlign w:val="superscript"/>
        </w:rPr>
        <w:t>1</w:t>
      </w:r>
      <w:r w:rsidRPr="008A77A1">
        <w:rPr>
          <w:vertAlign w:val="superscript"/>
        </w:rPr>
        <w:t>-</w:t>
      </w:r>
      <w:r w:rsidR="0013238F" w:rsidRPr="008A77A1">
        <w:rPr>
          <w:vertAlign w:val="superscript"/>
        </w:rPr>
        <w:t>1</w:t>
      </w:r>
      <w:r w:rsidR="005866BE">
        <w:rPr>
          <w:vertAlign w:val="superscript"/>
        </w:rPr>
        <w:t>9</w:t>
      </w:r>
      <w:r w:rsidRPr="008A77A1">
        <w:rPr>
          <w:vertAlign w:val="superscript"/>
        </w:rPr>
        <w:t>,2</w:t>
      </w:r>
      <w:r w:rsidR="005866BE">
        <w:rPr>
          <w:vertAlign w:val="superscript"/>
        </w:rPr>
        <w:t>6</w:t>
      </w:r>
      <w:r w:rsidRPr="008A77A1">
        <w:rPr>
          <w:vertAlign w:val="superscript"/>
        </w:rPr>
        <w:t>-2</w:t>
      </w:r>
      <w:r w:rsidR="005866BE">
        <w:rPr>
          <w:vertAlign w:val="superscript"/>
        </w:rPr>
        <w:t>9</w:t>
      </w:r>
      <w:r w:rsidRPr="008A77A1">
        <w:rPr>
          <w:vertAlign w:val="superscript"/>
        </w:rPr>
        <w:t>,</w:t>
      </w:r>
      <w:r w:rsidR="005866BE">
        <w:rPr>
          <w:vertAlign w:val="superscript"/>
        </w:rPr>
        <w:t>40</w:t>
      </w:r>
    </w:p>
    <w:p w14:paraId="1DD8F248" w14:textId="77777777" w:rsidR="00BF2AD7" w:rsidRDefault="00BF2AD7" w:rsidP="00BF2AD7">
      <w:pPr>
        <w:pStyle w:val="BodyText"/>
      </w:pPr>
      <w:r>
        <w:t>Authorization of 12 months may be granted for adult members who have previously received a biologic or targeted synthetic drug (e.g., Rinvoq, Otezla) indicated for active psoriatic arthritis.</w:t>
      </w:r>
    </w:p>
    <w:p w14:paraId="3EF0A9AB" w14:textId="5DEB1030" w:rsidR="00BF0F33" w:rsidRDefault="00BF2AD7" w:rsidP="00BF2AD7">
      <w:pPr>
        <w:pStyle w:val="BodyText"/>
      </w:pPr>
      <w:r>
        <w:lastRenderedPageBreak/>
        <w:t>Authorization of 12 months may be granted for adult members for treatment of active psoriatic arthritis when either of the following criteria is met:</w:t>
      </w:r>
    </w:p>
    <w:p w14:paraId="1A661F0E" w14:textId="181CC823" w:rsidR="00BF2AD7" w:rsidRDefault="00BF2AD7" w:rsidP="000D5F54">
      <w:pPr>
        <w:pStyle w:val="ListParagraph"/>
        <w:numPr>
          <w:ilvl w:val="0"/>
          <w:numId w:val="37"/>
        </w:numPr>
      </w:pPr>
      <w:r w:rsidRPr="00BF2AD7">
        <w:t>Member has mild to moderate disease and meets one of the following criteria:</w:t>
      </w:r>
    </w:p>
    <w:p w14:paraId="2D666611" w14:textId="77777777" w:rsidR="00BF2AD7" w:rsidRDefault="00BF2AD7" w:rsidP="000D5F54">
      <w:pPr>
        <w:pStyle w:val="ListParagraph"/>
        <w:numPr>
          <w:ilvl w:val="1"/>
          <w:numId w:val="36"/>
        </w:numPr>
      </w:pPr>
      <w:r>
        <w:t>Member has had an inadequate response to methotrexate, leflunomide, or another conventional synthetic drug (e.g., sulfasalazine) administered at an adequate dose and duration.</w:t>
      </w:r>
    </w:p>
    <w:p w14:paraId="4C6652E5" w14:textId="77777777" w:rsidR="00BF2AD7" w:rsidRDefault="00BF2AD7" w:rsidP="000D5F54">
      <w:pPr>
        <w:pStyle w:val="ListParagraph"/>
        <w:numPr>
          <w:ilvl w:val="1"/>
          <w:numId w:val="36"/>
        </w:numPr>
      </w:pPr>
      <w:r>
        <w:t>Member has an intolerance or contraindication to methotrexate or leflunomide (see Appendix A), or another conventional synthetic drug (e.g., sulfasalazine).</w:t>
      </w:r>
    </w:p>
    <w:p w14:paraId="2C030217" w14:textId="0C87084A" w:rsidR="00BF2AD7" w:rsidRDefault="00BF2AD7" w:rsidP="000D5F54">
      <w:pPr>
        <w:pStyle w:val="ListParagraph"/>
        <w:numPr>
          <w:ilvl w:val="1"/>
          <w:numId w:val="36"/>
        </w:numPr>
      </w:pPr>
      <w:r>
        <w:t>Member has enthesitis or predominantly axial disease.</w:t>
      </w:r>
    </w:p>
    <w:p w14:paraId="51ECAE78" w14:textId="6C4AB298" w:rsidR="00BF2AD7" w:rsidRDefault="00BF2AD7" w:rsidP="000D5F54">
      <w:pPr>
        <w:pStyle w:val="ListParagraph"/>
        <w:numPr>
          <w:ilvl w:val="0"/>
          <w:numId w:val="37"/>
        </w:numPr>
      </w:pPr>
      <w:r w:rsidRPr="00BF2AD7">
        <w:t>Member has severe disease.</w:t>
      </w:r>
    </w:p>
    <w:p w14:paraId="3211AA12" w14:textId="4AB9CD53" w:rsidR="00BF2AD7" w:rsidRDefault="00BF2AD7" w:rsidP="00BF2AD7">
      <w:pPr>
        <w:pStyle w:val="Heading3"/>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E5100A">
        <w:rPr>
          <w:vertAlign w:val="superscript"/>
        </w:rPr>
        <w:t>1-</w:t>
      </w:r>
      <w:r w:rsidR="005866BE">
        <w:rPr>
          <w:vertAlign w:val="superscript"/>
        </w:rPr>
        <w:t>20</w:t>
      </w:r>
      <w:r w:rsidRPr="008A77A1">
        <w:rPr>
          <w:vertAlign w:val="superscript"/>
        </w:rPr>
        <w:t>,</w:t>
      </w:r>
      <w:r w:rsidR="005866BE">
        <w:rPr>
          <w:vertAlign w:val="superscript"/>
        </w:rPr>
        <w:t>30</w:t>
      </w:r>
      <w:r w:rsidR="00F24194">
        <w:rPr>
          <w:vertAlign w:val="superscript"/>
        </w:rPr>
        <w:t>,</w:t>
      </w:r>
      <w:r w:rsidR="0013238F" w:rsidRPr="000D5F54">
        <w:rPr>
          <w:vertAlign w:val="superscript"/>
        </w:rPr>
        <w:t>3</w:t>
      </w:r>
      <w:r w:rsidR="005866BE">
        <w:rPr>
          <w:vertAlign w:val="superscript"/>
        </w:rPr>
        <w:t>1</w:t>
      </w:r>
    </w:p>
    <w:p w14:paraId="6AB63820" w14:textId="77777777" w:rsidR="00BF2AD7" w:rsidRPr="000E738D" w:rsidRDefault="00BF2AD7" w:rsidP="000E738D">
      <w:pPr>
        <w:pStyle w:val="BodyText"/>
      </w:pPr>
      <w:r w:rsidRPr="000E738D">
        <w:t>Authorization of 12 months may be granted for adult members who have previously received a biologic or targeted synthetic drug (e.g., Rinvoq, Xeljanz) indicated for active ankylosing spondylitis or active non-radiographic axial spondyloarthritis.</w:t>
      </w:r>
    </w:p>
    <w:p w14:paraId="0834FD75" w14:textId="283D16B2" w:rsidR="00BF2AD7" w:rsidRPr="000E738D" w:rsidRDefault="00BF2AD7" w:rsidP="000E738D">
      <w:pPr>
        <w:pStyle w:val="BodyText"/>
      </w:pPr>
      <w:r w:rsidRPr="000E738D">
        <w:t>Authorization of 12 months may be granted for adult members for treatment of active ankylosing spondylitis or active non-radiographic axial spondyloarthritis when either of the following criteria is met:</w:t>
      </w:r>
    </w:p>
    <w:p w14:paraId="304D483B" w14:textId="77777777" w:rsidR="00BF2AD7" w:rsidRPr="00BF2AD7" w:rsidRDefault="00BF2AD7" w:rsidP="000D5F54">
      <w:pPr>
        <w:pStyle w:val="ListParagraph"/>
        <w:numPr>
          <w:ilvl w:val="0"/>
          <w:numId w:val="39"/>
        </w:numPr>
      </w:pPr>
      <w:r w:rsidRPr="00BF2AD7">
        <w:t>Member has had an inadequate response to at least two non-steroidal anti-inflammatory drugs (NSAIDs).</w:t>
      </w:r>
    </w:p>
    <w:p w14:paraId="1FD8CC76" w14:textId="77777777" w:rsidR="00BF2AD7" w:rsidRDefault="00BF2AD7" w:rsidP="000D5F54">
      <w:pPr>
        <w:pStyle w:val="ListParagraph"/>
        <w:numPr>
          <w:ilvl w:val="0"/>
          <w:numId w:val="39"/>
        </w:numPr>
      </w:pPr>
      <w:r w:rsidRPr="00BF2AD7">
        <w:t>Member has an intolerance or contraindication to two or more NSAIDs.</w:t>
      </w:r>
    </w:p>
    <w:p w14:paraId="0C64C970" w14:textId="33B2FE90" w:rsidR="00BF2AD7" w:rsidRDefault="00BF2AD7" w:rsidP="00BF2AD7">
      <w:pPr>
        <w:pStyle w:val="Heading3"/>
      </w:pPr>
      <w:r>
        <w:t>Crohn’s disease (CD)</w:t>
      </w:r>
      <w:r w:rsidRPr="003C33EE">
        <w:rPr>
          <w:vertAlign w:val="superscript"/>
        </w:rPr>
        <w:t>1</w:t>
      </w:r>
      <w:r w:rsidRPr="0013238F">
        <w:rPr>
          <w:vertAlign w:val="superscript"/>
        </w:rPr>
        <w:t>-</w:t>
      </w:r>
      <w:r w:rsidR="0013238F" w:rsidRPr="0013238F">
        <w:rPr>
          <w:vertAlign w:val="superscript"/>
        </w:rPr>
        <w:t>1</w:t>
      </w:r>
      <w:r w:rsidR="005866BE">
        <w:rPr>
          <w:vertAlign w:val="superscript"/>
        </w:rPr>
        <w:t>9</w:t>
      </w:r>
      <w:r w:rsidR="0013238F" w:rsidRPr="0013238F">
        <w:rPr>
          <w:vertAlign w:val="superscript"/>
        </w:rPr>
        <w:t>,3</w:t>
      </w:r>
      <w:r w:rsidR="005866BE">
        <w:rPr>
          <w:vertAlign w:val="superscript"/>
        </w:rPr>
        <w:t>2</w:t>
      </w:r>
      <w:r w:rsidR="0013238F" w:rsidRPr="0013238F">
        <w:rPr>
          <w:vertAlign w:val="superscript"/>
        </w:rPr>
        <w:t>,3</w:t>
      </w:r>
      <w:r w:rsidR="005866BE">
        <w:rPr>
          <w:vertAlign w:val="superscript"/>
        </w:rPr>
        <w:t>3</w:t>
      </w:r>
      <w:r w:rsidR="0013238F" w:rsidRPr="0013238F">
        <w:rPr>
          <w:vertAlign w:val="superscript"/>
        </w:rPr>
        <w:t>,5</w:t>
      </w:r>
      <w:r w:rsidR="005866BE">
        <w:rPr>
          <w:vertAlign w:val="superscript"/>
        </w:rPr>
        <w:t>4</w:t>
      </w:r>
    </w:p>
    <w:p w14:paraId="25984FE7" w14:textId="308DB330" w:rsidR="001B7A6C" w:rsidRDefault="00BF2AD7" w:rsidP="004B71E5">
      <w:pPr>
        <w:pStyle w:val="BodyText"/>
      </w:pPr>
      <w:r>
        <w:t xml:space="preserve">Authorization of 12 months may be granted for treatment of moderately to severely active </w:t>
      </w:r>
      <w:r w:rsidR="0070720D">
        <w:t>Crohn’s disease</w:t>
      </w:r>
      <w:r>
        <w:t>.</w:t>
      </w:r>
    </w:p>
    <w:p w14:paraId="5DF33C44" w14:textId="5043217F" w:rsidR="00BF2AD7" w:rsidRDefault="00BF2AD7" w:rsidP="00BF2AD7">
      <w:pPr>
        <w:pStyle w:val="Heading3"/>
      </w:pPr>
      <w:r>
        <w:t>Ulcerative colitis (UC)</w:t>
      </w:r>
      <w:r w:rsidRPr="0013238F">
        <w:rPr>
          <w:vertAlign w:val="superscript"/>
        </w:rPr>
        <w:t>1-</w:t>
      </w:r>
      <w:r w:rsidR="0013238F" w:rsidRPr="0013238F">
        <w:rPr>
          <w:vertAlign w:val="superscript"/>
        </w:rPr>
        <w:t>1</w:t>
      </w:r>
      <w:r w:rsidR="005866BE">
        <w:rPr>
          <w:vertAlign w:val="superscript"/>
        </w:rPr>
        <w:t>9</w:t>
      </w:r>
      <w:r w:rsidR="0013238F" w:rsidRPr="0013238F">
        <w:rPr>
          <w:vertAlign w:val="superscript"/>
        </w:rPr>
        <w:t>,3</w:t>
      </w:r>
      <w:r w:rsidR="005866BE">
        <w:rPr>
          <w:vertAlign w:val="superscript"/>
        </w:rPr>
        <w:t>2</w:t>
      </w:r>
      <w:r w:rsidR="0013238F" w:rsidRPr="0013238F">
        <w:rPr>
          <w:vertAlign w:val="superscript"/>
        </w:rPr>
        <w:t>,4</w:t>
      </w:r>
      <w:r w:rsidR="005866BE">
        <w:rPr>
          <w:vertAlign w:val="superscript"/>
        </w:rPr>
        <w:t>1</w:t>
      </w:r>
      <w:r w:rsidR="0013238F" w:rsidRPr="0013238F">
        <w:rPr>
          <w:vertAlign w:val="superscript"/>
        </w:rPr>
        <w:t>,</w:t>
      </w:r>
      <w:r w:rsidR="001C789A">
        <w:rPr>
          <w:vertAlign w:val="superscript"/>
        </w:rPr>
        <w:t>4</w:t>
      </w:r>
      <w:r w:rsidR="005866BE">
        <w:rPr>
          <w:vertAlign w:val="superscript"/>
        </w:rPr>
        <w:t>9</w:t>
      </w:r>
    </w:p>
    <w:p w14:paraId="5F3E0644" w14:textId="206CE854" w:rsidR="001B7A6C" w:rsidRDefault="00BF2AD7" w:rsidP="004B71E5">
      <w:pPr>
        <w:pStyle w:val="BodyText"/>
      </w:pPr>
      <w:r>
        <w:t>Authorization of 12 months may be granted for treatment of moderately to severely active ulcerative colitis.</w:t>
      </w:r>
    </w:p>
    <w:p w14:paraId="61DF2F2A" w14:textId="66165948" w:rsidR="00BF2AD7" w:rsidRDefault="00BF2AD7" w:rsidP="00BF2AD7">
      <w:pPr>
        <w:pStyle w:val="Heading3"/>
      </w:pPr>
      <w:r>
        <w:t>Plaque psoriasis (</w:t>
      </w:r>
      <w:proofErr w:type="spellStart"/>
      <w:r>
        <w:t>PsO</w:t>
      </w:r>
      <w:proofErr w:type="spellEnd"/>
      <w:r>
        <w:t>)</w:t>
      </w:r>
      <w:r w:rsidRPr="0013238F">
        <w:rPr>
          <w:vertAlign w:val="superscript"/>
        </w:rPr>
        <w:t>1-</w:t>
      </w:r>
      <w:r w:rsidR="0013238F" w:rsidRPr="0013238F">
        <w:rPr>
          <w:vertAlign w:val="superscript"/>
        </w:rPr>
        <w:t>1</w:t>
      </w:r>
      <w:r w:rsidR="005866BE">
        <w:rPr>
          <w:vertAlign w:val="superscript"/>
        </w:rPr>
        <w:t>9</w:t>
      </w:r>
      <w:r w:rsidR="0013238F" w:rsidRPr="0013238F">
        <w:rPr>
          <w:vertAlign w:val="superscript"/>
        </w:rPr>
        <w:t>,</w:t>
      </w:r>
      <w:r w:rsidR="00397391">
        <w:rPr>
          <w:vertAlign w:val="superscript"/>
        </w:rPr>
        <w:t>2</w:t>
      </w:r>
      <w:r w:rsidR="005866BE">
        <w:rPr>
          <w:vertAlign w:val="superscript"/>
        </w:rPr>
        <w:t>8</w:t>
      </w:r>
      <w:r w:rsidR="00397391">
        <w:rPr>
          <w:vertAlign w:val="superscript"/>
        </w:rPr>
        <w:t>,</w:t>
      </w:r>
      <w:r w:rsidR="0013238F" w:rsidRPr="0013238F">
        <w:rPr>
          <w:vertAlign w:val="superscript"/>
        </w:rPr>
        <w:t>2</w:t>
      </w:r>
      <w:r w:rsidR="005866BE">
        <w:rPr>
          <w:vertAlign w:val="superscript"/>
        </w:rPr>
        <w:t>9</w:t>
      </w:r>
      <w:r w:rsidR="0013238F" w:rsidRPr="0013238F">
        <w:rPr>
          <w:vertAlign w:val="superscript"/>
        </w:rPr>
        <w:t>,</w:t>
      </w:r>
      <w:r w:rsidR="00397391">
        <w:rPr>
          <w:vertAlign w:val="superscript"/>
        </w:rPr>
        <w:t>3</w:t>
      </w:r>
      <w:r w:rsidR="005866BE">
        <w:rPr>
          <w:vertAlign w:val="superscript"/>
        </w:rPr>
        <w:t>8</w:t>
      </w:r>
      <w:r w:rsidR="0013238F" w:rsidRPr="0013238F">
        <w:rPr>
          <w:vertAlign w:val="superscript"/>
        </w:rPr>
        <w:t>,4</w:t>
      </w:r>
      <w:r w:rsidR="005866BE">
        <w:rPr>
          <w:vertAlign w:val="superscript"/>
        </w:rPr>
        <w:t>2</w:t>
      </w:r>
      <w:r w:rsidR="0013238F" w:rsidRPr="0013238F">
        <w:rPr>
          <w:vertAlign w:val="superscript"/>
        </w:rPr>
        <w:t>,4</w:t>
      </w:r>
      <w:r w:rsidR="005866BE">
        <w:rPr>
          <w:vertAlign w:val="superscript"/>
        </w:rPr>
        <w:t>3</w:t>
      </w:r>
      <w:r w:rsidR="0013238F" w:rsidRPr="0013238F">
        <w:rPr>
          <w:vertAlign w:val="superscript"/>
        </w:rPr>
        <w:t>,</w:t>
      </w:r>
      <w:r w:rsidR="00397391">
        <w:rPr>
          <w:vertAlign w:val="superscript"/>
        </w:rPr>
        <w:t>5</w:t>
      </w:r>
      <w:r w:rsidR="005866BE">
        <w:rPr>
          <w:vertAlign w:val="superscript"/>
        </w:rPr>
        <w:t>6</w:t>
      </w:r>
    </w:p>
    <w:p w14:paraId="7E65D905" w14:textId="77777777" w:rsidR="00BF2AD7" w:rsidRDefault="00BF2AD7" w:rsidP="00BF2AD7">
      <w:pPr>
        <w:pStyle w:val="BodyText"/>
      </w:pPr>
      <w:r>
        <w:t xml:space="preserve">Authorization of 12 months may be granted for adult members who have previously received a biologic or targeted synthetic drug (e.g., </w:t>
      </w:r>
      <w:proofErr w:type="spellStart"/>
      <w:r>
        <w:t>Sotyktu</w:t>
      </w:r>
      <w:proofErr w:type="spellEnd"/>
      <w:r>
        <w:t>, Otezla) indicated for treatment of moderate to severe plaque psoriasis.</w:t>
      </w:r>
    </w:p>
    <w:p w14:paraId="326F992E" w14:textId="4EC45DA1" w:rsidR="00BF2AD7" w:rsidRDefault="00BF2AD7" w:rsidP="00BF2AD7">
      <w:pPr>
        <w:pStyle w:val="BodyText"/>
      </w:pPr>
      <w:r>
        <w:t>Authorization of 12 months may be granted for adult members for treatment of moderate to severe plaque psoriasis when any of the following criteria is met:</w:t>
      </w:r>
    </w:p>
    <w:p w14:paraId="027C03A4" w14:textId="77777777" w:rsidR="00BF2AD7" w:rsidRDefault="00BF2AD7" w:rsidP="000D5F54">
      <w:pPr>
        <w:pStyle w:val="ListParagraph"/>
        <w:numPr>
          <w:ilvl w:val="0"/>
          <w:numId w:val="40"/>
        </w:numPr>
      </w:pPr>
      <w:r>
        <w:t>Crucial body areas (e.g., hands, feet, face, neck, scalp, genitals/groin, intertriginous areas) are affected.</w:t>
      </w:r>
    </w:p>
    <w:p w14:paraId="6AA45D27" w14:textId="77777777" w:rsidR="00BF2AD7" w:rsidRDefault="00BF2AD7" w:rsidP="000D5F54">
      <w:pPr>
        <w:pStyle w:val="ListParagraph"/>
        <w:numPr>
          <w:ilvl w:val="0"/>
          <w:numId w:val="40"/>
        </w:numPr>
      </w:pPr>
      <w:r>
        <w:lastRenderedPageBreak/>
        <w:t>At least 10% of body surface area (BSA) is affected.</w:t>
      </w:r>
    </w:p>
    <w:p w14:paraId="5F35DA98" w14:textId="3E969250" w:rsidR="00BF2AD7" w:rsidRDefault="00BF2AD7" w:rsidP="000D5F54">
      <w:pPr>
        <w:pStyle w:val="ListParagraph"/>
        <w:numPr>
          <w:ilvl w:val="0"/>
          <w:numId w:val="40"/>
        </w:numPr>
      </w:pPr>
      <w:r>
        <w:t>At least 3% of body surface area (BSA) is affected and the member meets either of the following criteria:</w:t>
      </w:r>
    </w:p>
    <w:p w14:paraId="79BC229D" w14:textId="77777777" w:rsidR="00BF2AD7" w:rsidRDefault="00BF2AD7" w:rsidP="000D5F54">
      <w:pPr>
        <w:pStyle w:val="ListParagraph"/>
        <w:numPr>
          <w:ilvl w:val="1"/>
          <w:numId w:val="40"/>
        </w:numPr>
      </w:pPr>
      <w:r>
        <w:t>Member has had an inadequate response or intolerance to either phototherapy (e.g., UVB, PUVA) or pharmacologic treatment with methotrexate, cyclosporine, or acitretin.</w:t>
      </w:r>
    </w:p>
    <w:p w14:paraId="43AAB094" w14:textId="4188E057" w:rsidR="00BF2AD7" w:rsidRDefault="00BF2AD7" w:rsidP="000D5F54">
      <w:pPr>
        <w:pStyle w:val="ListParagraph"/>
        <w:numPr>
          <w:ilvl w:val="1"/>
          <w:numId w:val="40"/>
        </w:numPr>
      </w:pPr>
      <w:r>
        <w:t>Member has a clinical reason to avoid pharmacologic treatment with methotrexate, cyclosporine, and acitretin (see Appendix A).</w:t>
      </w:r>
    </w:p>
    <w:p w14:paraId="2807E83F" w14:textId="134BC5A5" w:rsidR="00BF2AD7" w:rsidRDefault="00BF2AD7" w:rsidP="00BF2AD7">
      <w:pPr>
        <w:pStyle w:val="Heading3"/>
      </w:pPr>
      <w:r>
        <w:t>Hidradenitis suppurativa</w:t>
      </w:r>
      <w:r w:rsidRPr="003C33EE">
        <w:rPr>
          <w:vertAlign w:val="superscript"/>
        </w:rPr>
        <w:t>1</w:t>
      </w:r>
      <w:r w:rsidRPr="0013238F">
        <w:rPr>
          <w:vertAlign w:val="superscript"/>
        </w:rPr>
        <w:t>-</w:t>
      </w:r>
      <w:r w:rsidR="0013238F" w:rsidRPr="0013238F">
        <w:rPr>
          <w:vertAlign w:val="superscript"/>
        </w:rPr>
        <w:t>1</w:t>
      </w:r>
      <w:r w:rsidR="005866BE">
        <w:rPr>
          <w:vertAlign w:val="superscript"/>
        </w:rPr>
        <w:t>9</w:t>
      </w:r>
      <w:r w:rsidR="0013238F" w:rsidRPr="0013238F">
        <w:rPr>
          <w:vertAlign w:val="superscript"/>
        </w:rPr>
        <w:t>,</w:t>
      </w:r>
      <w:r w:rsidR="005866BE">
        <w:rPr>
          <w:vertAlign w:val="superscript"/>
        </w:rPr>
        <w:t>50</w:t>
      </w:r>
      <w:r w:rsidR="0013238F" w:rsidRPr="0013238F">
        <w:rPr>
          <w:vertAlign w:val="superscript"/>
        </w:rPr>
        <w:t>,</w:t>
      </w:r>
      <w:r w:rsidR="0013238F" w:rsidRPr="00844E89">
        <w:rPr>
          <w:vertAlign w:val="superscript"/>
        </w:rPr>
        <w:t>5</w:t>
      </w:r>
      <w:r w:rsidR="005866BE">
        <w:rPr>
          <w:vertAlign w:val="superscript"/>
        </w:rPr>
        <w:t>1</w:t>
      </w:r>
    </w:p>
    <w:p w14:paraId="52656F8C" w14:textId="77777777" w:rsidR="00BF2AD7" w:rsidRDefault="00BF2AD7" w:rsidP="0050044C">
      <w:pPr>
        <w:pStyle w:val="BodyText"/>
      </w:pPr>
      <w:r>
        <w:t>Authorization of 12 months may be granted for members 12 years of age or older who have previously received a biologic indicated for treatment of moderate to severe hidradenitis suppurativa.</w:t>
      </w:r>
    </w:p>
    <w:p w14:paraId="49BDF76E" w14:textId="618ADF48" w:rsidR="00BF2AD7" w:rsidRDefault="00BF2AD7" w:rsidP="0050044C">
      <w:pPr>
        <w:pStyle w:val="BodyText"/>
      </w:pPr>
      <w:r>
        <w:t>Authorization of 12 months may be granted for members 12 years of age or older for treatment of moderate to severe hidradenitis suppurativa when either of the following is met:</w:t>
      </w:r>
    </w:p>
    <w:p w14:paraId="75BF4A52" w14:textId="77777777" w:rsidR="00F142BB" w:rsidRPr="00F142BB" w:rsidRDefault="00F142BB" w:rsidP="000D5F54">
      <w:pPr>
        <w:pStyle w:val="ListParagraph"/>
        <w:numPr>
          <w:ilvl w:val="0"/>
          <w:numId w:val="41"/>
        </w:numPr>
      </w:pPr>
      <w:r w:rsidRPr="00F142BB">
        <w:t>Member has had an inadequate response to an oral antibiotic used for the treatment of hidradenitis suppurativa for at least 90 days (e.g., clindamycin, metronidazole, moxifloxacin, rifampin, tetracyclines).</w:t>
      </w:r>
    </w:p>
    <w:p w14:paraId="3E5A4EAE" w14:textId="46933475" w:rsidR="00F142BB" w:rsidRDefault="00F142BB" w:rsidP="000D5F54">
      <w:pPr>
        <w:pStyle w:val="ListParagraph"/>
        <w:numPr>
          <w:ilvl w:val="0"/>
          <w:numId w:val="41"/>
        </w:numPr>
      </w:pPr>
      <w:r w:rsidRPr="00F142BB">
        <w:t>Member has an intolerance or contraindication to oral antibiotics used for the treatment of hidradenitis suppurativa.</w:t>
      </w:r>
    </w:p>
    <w:p w14:paraId="617878C2" w14:textId="0173F0F7" w:rsidR="00F142BB" w:rsidRDefault="00F142BB" w:rsidP="00F142BB">
      <w:pPr>
        <w:pStyle w:val="Heading3"/>
      </w:pPr>
      <w:r>
        <w:t>Uveitis (non-infectious intermediate, posterior and panuveitis)</w:t>
      </w:r>
      <w:r w:rsidRPr="003C33EE">
        <w:rPr>
          <w:vertAlign w:val="superscript"/>
        </w:rPr>
        <w:t>1</w:t>
      </w:r>
      <w:r w:rsidRPr="0013238F">
        <w:rPr>
          <w:vertAlign w:val="superscript"/>
        </w:rPr>
        <w:t>-</w:t>
      </w:r>
      <w:r w:rsidR="0013238F" w:rsidRPr="0013238F">
        <w:rPr>
          <w:vertAlign w:val="superscript"/>
        </w:rPr>
        <w:t>1</w:t>
      </w:r>
      <w:r w:rsidR="005866BE">
        <w:rPr>
          <w:vertAlign w:val="superscript"/>
        </w:rPr>
        <w:t>9</w:t>
      </w:r>
      <w:r w:rsidR="0013238F" w:rsidRPr="0013238F">
        <w:rPr>
          <w:vertAlign w:val="superscript"/>
        </w:rPr>
        <w:t>,</w:t>
      </w:r>
      <w:r w:rsidR="006A1860">
        <w:rPr>
          <w:vertAlign w:val="superscript"/>
        </w:rPr>
        <w:t>4</w:t>
      </w:r>
      <w:r w:rsidR="005866BE">
        <w:rPr>
          <w:vertAlign w:val="superscript"/>
        </w:rPr>
        <w:t>6</w:t>
      </w:r>
      <w:r w:rsidR="0013238F" w:rsidRPr="0013238F">
        <w:rPr>
          <w:vertAlign w:val="superscript"/>
        </w:rPr>
        <w:t>,</w:t>
      </w:r>
      <w:r w:rsidR="006A1860">
        <w:rPr>
          <w:vertAlign w:val="superscript"/>
        </w:rPr>
        <w:t>4</w:t>
      </w:r>
      <w:r w:rsidR="005866BE">
        <w:rPr>
          <w:vertAlign w:val="superscript"/>
        </w:rPr>
        <w:t>7</w:t>
      </w:r>
      <w:r w:rsidR="0013238F" w:rsidRPr="0013238F">
        <w:rPr>
          <w:vertAlign w:val="superscript"/>
        </w:rPr>
        <w:t>,</w:t>
      </w:r>
      <w:r w:rsidR="006A1860">
        <w:rPr>
          <w:vertAlign w:val="superscript"/>
        </w:rPr>
        <w:t>5</w:t>
      </w:r>
      <w:r w:rsidR="005866BE">
        <w:rPr>
          <w:vertAlign w:val="superscript"/>
        </w:rPr>
        <w:t>8</w:t>
      </w:r>
    </w:p>
    <w:p w14:paraId="69834521" w14:textId="5AB99817" w:rsidR="001B7A6C" w:rsidRDefault="00F142BB" w:rsidP="0050044C">
      <w:pPr>
        <w:pStyle w:val="BodyText"/>
      </w:pPr>
      <w:r>
        <w:t>Authorization of 12 months may be granted for members 2 years of age or older who have previously received a biologic indicated for non-infectious intermediate, posterior, and panuveitis.</w:t>
      </w:r>
    </w:p>
    <w:p w14:paraId="2D1B8C2D" w14:textId="523FF7A8" w:rsidR="00F142BB" w:rsidRDefault="00F142BB" w:rsidP="0050044C">
      <w:pPr>
        <w:pStyle w:val="BodyText"/>
      </w:pPr>
      <w:r>
        <w:t>Authorization of 12 months may be granted for members 2 years of age or older for treatment of non-infectious intermediate, posterior and panuveitis when either of the following is met:</w:t>
      </w:r>
    </w:p>
    <w:p w14:paraId="6D67A9FB" w14:textId="77777777" w:rsidR="00F142BB" w:rsidRPr="00F142BB" w:rsidRDefault="00F142BB" w:rsidP="000D5F54">
      <w:pPr>
        <w:pStyle w:val="ListParagraph"/>
        <w:numPr>
          <w:ilvl w:val="0"/>
          <w:numId w:val="42"/>
        </w:numPr>
      </w:pPr>
      <w:r w:rsidRPr="00F142BB">
        <w:t>Member has had an inadequate response to corticosteroids or immunosuppressive therapy (e.g., azathioprine, cyclosporine, methotrexate, mycophenolate mofetil).</w:t>
      </w:r>
    </w:p>
    <w:p w14:paraId="7F349D96" w14:textId="3CF10349" w:rsidR="00F142BB" w:rsidRDefault="00F142BB" w:rsidP="000D5F54">
      <w:pPr>
        <w:pStyle w:val="ListParagraph"/>
        <w:numPr>
          <w:ilvl w:val="0"/>
          <w:numId w:val="42"/>
        </w:numPr>
      </w:pPr>
      <w:r w:rsidRPr="00F142BB">
        <w:t>Member has an intolerance or contraindication to corticosteroids and immunosuppressive therapy (e.g., azathioprine, cyclosporine, methotrexate, mycophenolate mofetil).</w:t>
      </w:r>
    </w:p>
    <w:p w14:paraId="14B33B5A" w14:textId="2AEFDDA2" w:rsidR="00F142BB" w:rsidRDefault="00F142BB" w:rsidP="00F142BB">
      <w:pPr>
        <w:pStyle w:val="Heading3"/>
      </w:pPr>
      <w:proofErr w:type="spellStart"/>
      <w:r>
        <w:t>Behcet’s</w:t>
      </w:r>
      <w:proofErr w:type="spellEnd"/>
      <w:r>
        <w:t xml:space="preserve"> disease</w:t>
      </w:r>
      <w:r w:rsidRPr="0013238F">
        <w:rPr>
          <w:vertAlign w:val="superscript"/>
        </w:rPr>
        <w:t>3</w:t>
      </w:r>
      <w:r w:rsidR="005866BE">
        <w:rPr>
          <w:vertAlign w:val="superscript"/>
        </w:rPr>
        <w:t>7</w:t>
      </w:r>
      <w:r w:rsidR="0013238F" w:rsidRPr="0013238F">
        <w:rPr>
          <w:vertAlign w:val="superscript"/>
        </w:rPr>
        <w:t>,</w:t>
      </w:r>
      <w:r w:rsidR="0013238F" w:rsidRPr="00844E89">
        <w:rPr>
          <w:vertAlign w:val="superscript"/>
        </w:rPr>
        <w:t>4</w:t>
      </w:r>
      <w:r w:rsidR="005866BE">
        <w:rPr>
          <w:vertAlign w:val="superscript"/>
        </w:rPr>
        <w:t>4</w:t>
      </w:r>
    </w:p>
    <w:p w14:paraId="3AF89F06" w14:textId="77777777" w:rsidR="00F142BB" w:rsidRPr="0050044C" w:rsidRDefault="00F142BB" w:rsidP="0050044C">
      <w:pPr>
        <w:pStyle w:val="BodyText"/>
      </w:pPr>
      <w:r w:rsidRPr="0050044C">
        <w:t>Authorization of 12 months may be granted for members who have previously received Otezla or a biologic indicated for the treatment of Behcet’s disease.</w:t>
      </w:r>
    </w:p>
    <w:p w14:paraId="5A59F925" w14:textId="71D42EA3" w:rsidR="00F142BB" w:rsidRPr="0050044C" w:rsidRDefault="00F142BB" w:rsidP="0050044C">
      <w:pPr>
        <w:pStyle w:val="BodyText"/>
      </w:pPr>
      <w:r w:rsidRPr="0050044C">
        <w:t>Authorization of 12 months may be granted for the treatment of Behcet’s disease when the member has had an inadequate response to at least one non-biologic medication for Behcet’s disease (e.g., azathioprine, colchicine, cyclosporine, systemic corticosteroids).</w:t>
      </w:r>
    </w:p>
    <w:p w14:paraId="3E77129C" w14:textId="2A36CA4F" w:rsidR="00F142BB" w:rsidRDefault="00F142BB" w:rsidP="00F142BB">
      <w:pPr>
        <w:pStyle w:val="Heading3"/>
      </w:pPr>
      <w:r>
        <w:t>Pyoderma gangrenosum</w:t>
      </w:r>
      <w:r w:rsidRPr="0013238F">
        <w:rPr>
          <w:vertAlign w:val="superscript"/>
        </w:rPr>
        <w:t>3</w:t>
      </w:r>
      <w:r w:rsidR="005866BE">
        <w:rPr>
          <w:vertAlign w:val="superscript"/>
        </w:rPr>
        <w:t>4</w:t>
      </w:r>
      <w:r w:rsidR="0013238F" w:rsidRPr="0013238F">
        <w:rPr>
          <w:vertAlign w:val="superscript"/>
        </w:rPr>
        <w:t>-3</w:t>
      </w:r>
      <w:r w:rsidR="005866BE">
        <w:rPr>
          <w:vertAlign w:val="superscript"/>
        </w:rPr>
        <w:t>6</w:t>
      </w:r>
      <w:r w:rsidR="0013238F" w:rsidRPr="0013238F">
        <w:rPr>
          <w:vertAlign w:val="superscript"/>
        </w:rPr>
        <w:t>,</w:t>
      </w:r>
      <w:r w:rsidR="0013238F" w:rsidRPr="00844E89">
        <w:rPr>
          <w:vertAlign w:val="superscript"/>
        </w:rPr>
        <w:t>4</w:t>
      </w:r>
      <w:r w:rsidR="005866BE">
        <w:rPr>
          <w:vertAlign w:val="superscript"/>
        </w:rPr>
        <w:t>5</w:t>
      </w:r>
      <w:r w:rsidR="00D669D1">
        <w:rPr>
          <w:vertAlign w:val="superscript"/>
        </w:rPr>
        <w:t>,</w:t>
      </w:r>
      <w:r w:rsidR="006A1860">
        <w:rPr>
          <w:vertAlign w:val="superscript"/>
        </w:rPr>
        <w:t>5</w:t>
      </w:r>
      <w:r w:rsidR="005866BE">
        <w:rPr>
          <w:vertAlign w:val="superscript"/>
        </w:rPr>
        <w:t>9</w:t>
      </w:r>
    </w:p>
    <w:p w14:paraId="7911D1D8" w14:textId="77777777" w:rsidR="00F142BB" w:rsidRDefault="00F142BB" w:rsidP="0050044C">
      <w:pPr>
        <w:pStyle w:val="BodyText"/>
      </w:pPr>
      <w:r>
        <w:lastRenderedPageBreak/>
        <w:t>Authorization of 12 months may be granted for members who have previously received a biologic indicated for treatment of pyoderma gangrenosum.</w:t>
      </w:r>
    </w:p>
    <w:p w14:paraId="2FF0FEC1" w14:textId="5C8F2F44" w:rsidR="00F142BB" w:rsidRDefault="00F142BB" w:rsidP="0050044C">
      <w:pPr>
        <w:pStyle w:val="BodyText"/>
      </w:pPr>
      <w:r>
        <w:t>Authorization of 12 months may be granted for treatment of pyoderma gangrenosum when either of the following is met:</w:t>
      </w:r>
    </w:p>
    <w:p w14:paraId="6C8E8650" w14:textId="77777777" w:rsidR="00F142BB" w:rsidRPr="0050044C" w:rsidRDefault="00F142BB" w:rsidP="000D5F54">
      <w:pPr>
        <w:pStyle w:val="ListParagraph"/>
        <w:numPr>
          <w:ilvl w:val="0"/>
          <w:numId w:val="43"/>
        </w:numPr>
      </w:pPr>
      <w:r w:rsidRPr="0050044C">
        <w:t>Member has had an inadequate response to corticosteroids or immunosuppressive therapy (e.g., cyclosporine or mycophenolate mofetil).</w:t>
      </w:r>
    </w:p>
    <w:p w14:paraId="6BFFE870" w14:textId="622A0F0F" w:rsidR="001B7A6C" w:rsidRPr="004C77D4" w:rsidRDefault="00F142BB" w:rsidP="000D5F54">
      <w:pPr>
        <w:pStyle w:val="ListParagraph"/>
        <w:numPr>
          <w:ilvl w:val="0"/>
          <w:numId w:val="43"/>
        </w:numPr>
      </w:pPr>
      <w:r w:rsidRPr="004C77D4">
        <w:t>Member has an intolerance or contraindication to corticosteroids and immunosuppressive therapy (e.g., cyclosporine, mycophenolate mofetil).</w:t>
      </w:r>
    </w:p>
    <w:p w14:paraId="34E329B7" w14:textId="12FBF758" w:rsidR="00F142BB" w:rsidRDefault="00F142BB" w:rsidP="00F142BB">
      <w:pPr>
        <w:pStyle w:val="Heading3"/>
      </w:pPr>
      <w:r>
        <w:t xml:space="preserve">Immune checkpoint inhibitor-related </w:t>
      </w:r>
      <w:r w:rsidR="0013238F">
        <w:t>toxicity</w:t>
      </w:r>
      <w:r w:rsidR="0013238F" w:rsidRPr="008A77A1">
        <w:rPr>
          <w:vertAlign w:val="superscript"/>
        </w:rPr>
        <w:t>5</w:t>
      </w:r>
      <w:r w:rsidR="005866BE">
        <w:rPr>
          <w:vertAlign w:val="superscript"/>
        </w:rPr>
        <w:t>3</w:t>
      </w:r>
    </w:p>
    <w:p w14:paraId="414FA47A" w14:textId="045D72AF" w:rsidR="00F142BB" w:rsidRDefault="00F142BB" w:rsidP="0050044C">
      <w:pPr>
        <w:pStyle w:val="BodyText"/>
      </w:pPr>
      <w:r>
        <w:t>Authorization of 12 months may be granted for treatment of immune checkpoint inhibitor-related toxicity when the member has</w:t>
      </w:r>
      <w:r w:rsidR="00BB0A61">
        <w:t xml:space="preserve"> moderate or</w:t>
      </w:r>
      <w:r>
        <w:t xml:space="preserve"> severe immunotherapy-related inflammatory arthritis and meets either of the following:</w:t>
      </w:r>
    </w:p>
    <w:p w14:paraId="2B7ED9B5" w14:textId="77777777" w:rsidR="00F142BB" w:rsidRPr="003920CD" w:rsidRDefault="00F142BB" w:rsidP="000D5F54">
      <w:pPr>
        <w:pStyle w:val="ListParagraph"/>
        <w:numPr>
          <w:ilvl w:val="0"/>
          <w:numId w:val="45"/>
        </w:numPr>
      </w:pPr>
      <w:r w:rsidRPr="003920CD">
        <w:t xml:space="preserve">Member has had an inadequate response to corticosteroids or a conventional synthetic drug </w:t>
      </w:r>
      <w:bookmarkStart w:id="0" w:name="_Hlk187318551"/>
      <w:r w:rsidRPr="003920CD">
        <w:t>(e.g., methotrexate, sulfasalazine, leflunomide, hydroxychloroquine).</w:t>
      </w:r>
      <w:bookmarkEnd w:id="0"/>
    </w:p>
    <w:p w14:paraId="53850EA4" w14:textId="3308C311" w:rsidR="001B7A6C" w:rsidRPr="00712D7E" w:rsidRDefault="00F142BB" w:rsidP="000D5F54">
      <w:pPr>
        <w:pStyle w:val="ListParagraph"/>
        <w:numPr>
          <w:ilvl w:val="0"/>
          <w:numId w:val="45"/>
        </w:numPr>
      </w:pPr>
      <w:r w:rsidRPr="00712D7E">
        <w:t>Member has an intolerance or contraindication to corticosteroids and a conventional synthetic drug</w:t>
      </w:r>
      <w:r w:rsidR="00BB0A61">
        <w:t xml:space="preserve"> </w:t>
      </w:r>
      <w:r w:rsidR="00BB0A61" w:rsidRPr="00BB0A61">
        <w:t>(e.g., methotrexate, sulfasalazine, leflunomide, hydroxychloroquine)</w:t>
      </w:r>
      <w:r w:rsidRPr="00712D7E">
        <w:t>.</w:t>
      </w:r>
    </w:p>
    <w:p w14:paraId="02BB8005" w14:textId="07D17E5C" w:rsidR="0030576C" w:rsidRPr="00BD1CC1" w:rsidRDefault="0030576C" w:rsidP="0030576C">
      <w:pPr>
        <w:pStyle w:val="Heading2"/>
      </w:pPr>
      <w:r w:rsidRPr="00BD1CC1">
        <w:t>Continuation of Therapy</w:t>
      </w:r>
    </w:p>
    <w:p w14:paraId="373D833F" w14:textId="4B0C2FFF" w:rsidR="00F142BB" w:rsidRDefault="00F142BB" w:rsidP="00F142BB">
      <w:pPr>
        <w:pStyle w:val="Heading3"/>
      </w:pPr>
      <w:r>
        <w:t>Rheumatoid arthritis (RA)</w:t>
      </w:r>
      <w:r w:rsidRPr="003C33EE">
        <w:rPr>
          <w:vertAlign w:val="superscript"/>
        </w:rPr>
        <w:t>1</w:t>
      </w:r>
      <w:r w:rsidRPr="0013238F">
        <w:rPr>
          <w:vertAlign w:val="superscript"/>
        </w:rPr>
        <w:t>-</w:t>
      </w:r>
      <w:r w:rsidR="0013238F" w:rsidRPr="0013238F">
        <w:rPr>
          <w:vertAlign w:val="superscript"/>
        </w:rPr>
        <w:t>1</w:t>
      </w:r>
      <w:r w:rsidR="005866BE">
        <w:rPr>
          <w:vertAlign w:val="superscript"/>
        </w:rPr>
        <w:t>9</w:t>
      </w:r>
      <w:r w:rsidR="0013238F" w:rsidRPr="0013238F">
        <w:rPr>
          <w:vertAlign w:val="superscript"/>
        </w:rPr>
        <w:t>,2</w:t>
      </w:r>
      <w:r w:rsidR="005866BE">
        <w:rPr>
          <w:vertAlign w:val="superscript"/>
        </w:rPr>
        <w:t>2</w:t>
      </w:r>
      <w:r w:rsidR="0013238F" w:rsidRPr="0013238F">
        <w:rPr>
          <w:vertAlign w:val="superscript"/>
        </w:rPr>
        <w:t>-2</w:t>
      </w:r>
      <w:r w:rsidR="005866BE">
        <w:rPr>
          <w:vertAlign w:val="superscript"/>
        </w:rPr>
        <w:t>4</w:t>
      </w:r>
      <w:r w:rsidR="0013238F" w:rsidRPr="0013238F">
        <w:rPr>
          <w:vertAlign w:val="superscript"/>
        </w:rPr>
        <w:t>,</w:t>
      </w:r>
      <w:r w:rsidR="007D5353">
        <w:rPr>
          <w:vertAlign w:val="superscript"/>
        </w:rPr>
        <w:t>4</w:t>
      </w:r>
      <w:r w:rsidR="005866BE">
        <w:rPr>
          <w:vertAlign w:val="superscript"/>
        </w:rPr>
        <w:t>8</w:t>
      </w:r>
      <w:r w:rsidR="0013238F" w:rsidRPr="0013238F">
        <w:rPr>
          <w:vertAlign w:val="superscript"/>
        </w:rPr>
        <w:t>,5</w:t>
      </w:r>
      <w:r w:rsidR="005866BE">
        <w:rPr>
          <w:vertAlign w:val="superscript"/>
        </w:rPr>
        <w:t>2</w:t>
      </w:r>
      <w:r w:rsidR="0013238F" w:rsidRPr="0013238F">
        <w:rPr>
          <w:vertAlign w:val="superscript"/>
        </w:rPr>
        <w:t>,</w:t>
      </w:r>
      <w:r w:rsidR="007D5353">
        <w:rPr>
          <w:vertAlign w:val="superscript"/>
        </w:rPr>
        <w:t>5</w:t>
      </w:r>
      <w:r w:rsidR="005866BE">
        <w:rPr>
          <w:vertAlign w:val="superscript"/>
        </w:rPr>
        <w:t>5</w:t>
      </w:r>
    </w:p>
    <w:p w14:paraId="4DE0D3A4" w14:textId="77777777" w:rsidR="00F142BB" w:rsidRDefault="00F142BB" w:rsidP="00F142BB">
      <w:pPr>
        <w:pStyle w:val="BodyText"/>
      </w:pPr>
      <w:r>
        <w:t>Authorization of 12 months may be granted for all adult members (including new members) who are using the requested medication for moderately to severely active rheumatoid arthritis and who achieve or maintain a positive clinical response as evidenced by disease activity improvement of at least 20% from baseline in tender joint count, swollen joint count, pain, or disability.</w:t>
      </w:r>
    </w:p>
    <w:p w14:paraId="121C5679" w14:textId="2312F3A0" w:rsidR="00F142BB" w:rsidRDefault="00F142BB" w:rsidP="00F142BB">
      <w:pPr>
        <w:pStyle w:val="Heading3"/>
      </w:pPr>
      <w:r>
        <w:t>Articular juvenile idiopathic arthritis (JIA)</w:t>
      </w:r>
      <w:r w:rsidRPr="003C33EE">
        <w:rPr>
          <w:vertAlign w:val="superscript"/>
        </w:rPr>
        <w:t>1</w:t>
      </w:r>
      <w:r w:rsidRPr="0013238F">
        <w:rPr>
          <w:vertAlign w:val="superscript"/>
        </w:rPr>
        <w:t>-</w:t>
      </w:r>
      <w:r w:rsidR="0013238F" w:rsidRPr="0013238F">
        <w:rPr>
          <w:vertAlign w:val="superscript"/>
        </w:rPr>
        <w:t>1</w:t>
      </w:r>
      <w:r w:rsidR="005866BE">
        <w:rPr>
          <w:vertAlign w:val="superscript"/>
        </w:rPr>
        <w:t>9</w:t>
      </w:r>
      <w:r w:rsidR="0013238F" w:rsidRPr="0013238F">
        <w:rPr>
          <w:vertAlign w:val="superscript"/>
        </w:rPr>
        <w:t>,</w:t>
      </w:r>
      <w:r w:rsidR="0013238F" w:rsidRPr="00844E89">
        <w:rPr>
          <w:vertAlign w:val="superscript"/>
        </w:rPr>
        <w:t>2</w:t>
      </w:r>
      <w:r w:rsidR="005866BE">
        <w:rPr>
          <w:vertAlign w:val="superscript"/>
        </w:rPr>
        <w:t>5</w:t>
      </w:r>
    </w:p>
    <w:p w14:paraId="5575AE1C" w14:textId="642E0E1C" w:rsidR="00F142BB" w:rsidRDefault="00F142BB" w:rsidP="00F142BB">
      <w:pPr>
        <w:pStyle w:val="BodyText"/>
      </w:pPr>
      <w:r>
        <w:t>Authorization of 12 months may be granted for all members 2 years of age or older (including new members) who are using the requested medication for moderately to severely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2A3D0A88" w14:textId="77777777" w:rsidR="00F142BB" w:rsidRDefault="00F142BB" w:rsidP="000D5F54">
      <w:pPr>
        <w:pStyle w:val="ListParagraph"/>
        <w:numPr>
          <w:ilvl w:val="0"/>
          <w:numId w:val="47"/>
        </w:numPr>
      </w:pPr>
      <w:r>
        <w:t>Number of joints with active arthritis (e.g., swelling, pain, limitation of motion)</w:t>
      </w:r>
    </w:p>
    <w:p w14:paraId="02C9CE1D" w14:textId="77777777" w:rsidR="00F142BB" w:rsidRDefault="00F142BB" w:rsidP="000D5F54">
      <w:pPr>
        <w:pStyle w:val="ListParagraph"/>
        <w:numPr>
          <w:ilvl w:val="0"/>
          <w:numId w:val="47"/>
        </w:numPr>
      </w:pPr>
      <w:r>
        <w:t>Number of joints with limitation of movement</w:t>
      </w:r>
    </w:p>
    <w:p w14:paraId="19EAC1B8" w14:textId="12F4E5AF" w:rsidR="00F142BB" w:rsidRDefault="00F142BB" w:rsidP="000D5F54">
      <w:pPr>
        <w:pStyle w:val="ListParagraph"/>
        <w:numPr>
          <w:ilvl w:val="0"/>
          <w:numId w:val="47"/>
        </w:numPr>
      </w:pPr>
      <w:r>
        <w:t>Functional ability</w:t>
      </w:r>
    </w:p>
    <w:p w14:paraId="50D10346" w14:textId="0DEDE9E2" w:rsidR="00F142BB" w:rsidRDefault="00F142BB" w:rsidP="00F142BB">
      <w:pPr>
        <w:pStyle w:val="Heading3"/>
      </w:pPr>
      <w:r>
        <w:t>Psoriatic arthritis (PsA)</w:t>
      </w:r>
      <w:r w:rsidRPr="000E738D">
        <w:rPr>
          <w:vertAlign w:val="superscript"/>
        </w:rPr>
        <w:t>1-</w:t>
      </w:r>
      <w:r w:rsidR="0013238F" w:rsidRPr="0013238F">
        <w:rPr>
          <w:vertAlign w:val="superscript"/>
        </w:rPr>
        <w:t>1</w:t>
      </w:r>
      <w:r w:rsidR="005866BE">
        <w:rPr>
          <w:vertAlign w:val="superscript"/>
        </w:rPr>
        <w:t>9</w:t>
      </w:r>
      <w:r w:rsidR="0013238F" w:rsidRPr="0013238F">
        <w:rPr>
          <w:vertAlign w:val="superscript"/>
        </w:rPr>
        <w:t>,2</w:t>
      </w:r>
      <w:r w:rsidR="005866BE">
        <w:rPr>
          <w:vertAlign w:val="superscript"/>
        </w:rPr>
        <w:t>6</w:t>
      </w:r>
      <w:r w:rsidR="0013238F" w:rsidRPr="0013238F">
        <w:rPr>
          <w:vertAlign w:val="superscript"/>
        </w:rPr>
        <w:t>-2</w:t>
      </w:r>
      <w:r w:rsidR="005866BE">
        <w:rPr>
          <w:vertAlign w:val="superscript"/>
        </w:rPr>
        <w:t>9</w:t>
      </w:r>
      <w:r w:rsidR="0013238F" w:rsidRPr="0013238F">
        <w:rPr>
          <w:vertAlign w:val="superscript"/>
        </w:rPr>
        <w:t>,</w:t>
      </w:r>
      <w:r w:rsidR="005866BE">
        <w:rPr>
          <w:vertAlign w:val="superscript"/>
        </w:rPr>
        <w:t>40</w:t>
      </w:r>
    </w:p>
    <w:p w14:paraId="1BCB0E8E" w14:textId="7D777B01" w:rsidR="00F142BB" w:rsidRDefault="00F142BB" w:rsidP="0050044C">
      <w:pPr>
        <w:pStyle w:val="BodyText"/>
      </w:pPr>
      <w:r>
        <w:lastRenderedPageBreak/>
        <w:t>Authorization of 12 months may be granted for all adult members (including new members) who are using the requested medication for psoriatic arthritis and who achieve or maintain a positive clinical response as evidenced by low disease activity or improvement in signs and symptoms of the condition when there is improvement in any of the following from baseline:</w:t>
      </w:r>
    </w:p>
    <w:p w14:paraId="4B696EEC" w14:textId="77777777" w:rsidR="00F142BB" w:rsidRPr="00F142BB" w:rsidRDefault="00F142BB" w:rsidP="000D5F54">
      <w:pPr>
        <w:pStyle w:val="ListParagraph"/>
        <w:numPr>
          <w:ilvl w:val="0"/>
          <w:numId w:val="48"/>
        </w:numPr>
      </w:pPr>
      <w:r w:rsidRPr="00F142BB">
        <w:t>Number of swollen joints</w:t>
      </w:r>
    </w:p>
    <w:p w14:paraId="26D130B9" w14:textId="77777777" w:rsidR="00F142BB" w:rsidRPr="00F142BB" w:rsidRDefault="00F142BB" w:rsidP="000D5F54">
      <w:pPr>
        <w:pStyle w:val="ListParagraph"/>
        <w:numPr>
          <w:ilvl w:val="0"/>
          <w:numId w:val="48"/>
        </w:numPr>
      </w:pPr>
      <w:r w:rsidRPr="00F142BB">
        <w:t>Number of tender joints</w:t>
      </w:r>
    </w:p>
    <w:p w14:paraId="4246ECA5" w14:textId="77777777" w:rsidR="00F142BB" w:rsidRPr="00F142BB" w:rsidRDefault="00F142BB" w:rsidP="000D5F54">
      <w:pPr>
        <w:pStyle w:val="ListParagraph"/>
        <w:numPr>
          <w:ilvl w:val="0"/>
          <w:numId w:val="48"/>
        </w:numPr>
      </w:pPr>
      <w:r w:rsidRPr="00F142BB">
        <w:t>Dactylitis</w:t>
      </w:r>
    </w:p>
    <w:p w14:paraId="35F13BB3" w14:textId="77777777" w:rsidR="00F142BB" w:rsidRPr="00F142BB" w:rsidRDefault="00F142BB" w:rsidP="000D5F54">
      <w:pPr>
        <w:pStyle w:val="ListParagraph"/>
        <w:numPr>
          <w:ilvl w:val="0"/>
          <w:numId w:val="48"/>
        </w:numPr>
      </w:pPr>
      <w:r w:rsidRPr="00F142BB">
        <w:t>Enthesitis</w:t>
      </w:r>
    </w:p>
    <w:p w14:paraId="028C1FFE" w14:textId="77777777" w:rsidR="00F142BB" w:rsidRPr="00F142BB" w:rsidRDefault="00F142BB" w:rsidP="000D5F54">
      <w:pPr>
        <w:pStyle w:val="ListParagraph"/>
        <w:numPr>
          <w:ilvl w:val="0"/>
          <w:numId w:val="48"/>
        </w:numPr>
      </w:pPr>
      <w:r w:rsidRPr="00F142BB">
        <w:t>Axial disease</w:t>
      </w:r>
    </w:p>
    <w:p w14:paraId="54B3FE35" w14:textId="77777777" w:rsidR="00F142BB" w:rsidRPr="00F142BB" w:rsidRDefault="00F142BB" w:rsidP="000D5F54">
      <w:pPr>
        <w:pStyle w:val="ListParagraph"/>
        <w:numPr>
          <w:ilvl w:val="0"/>
          <w:numId w:val="48"/>
        </w:numPr>
      </w:pPr>
      <w:r w:rsidRPr="00F142BB">
        <w:t>Skin and/or nail involvement</w:t>
      </w:r>
    </w:p>
    <w:p w14:paraId="182C142C" w14:textId="77777777" w:rsidR="00F142BB" w:rsidRPr="00F142BB" w:rsidRDefault="00F142BB" w:rsidP="000D5F54">
      <w:pPr>
        <w:pStyle w:val="ListParagraph"/>
        <w:numPr>
          <w:ilvl w:val="0"/>
          <w:numId w:val="48"/>
        </w:numPr>
      </w:pPr>
      <w:r w:rsidRPr="00F142BB">
        <w:t>Functional status</w:t>
      </w:r>
    </w:p>
    <w:p w14:paraId="520AC8FC" w14:textId="6E0E8917" w:rsidR="00F142BB" w:rsidRDefault="00F142BB" w:rsidP="000D5F54">
      <w:pPr>
        <w:pStyle w:val="ListParagraph"/>
        <w:numPr>
          <w:ilvl w:val="0"/>
          <w:numId w:val="48"/>
        </w:numPr>
      </w:pPr>
      <w:r w:rsidRPr="00F142BB">
        <w:t>C-reactive protein (CRP)</w:t>
      </w:r>
    </w:p>
    <w:p w14:paraId="23B296DB" w14:textId="50DA7822" w:rsidR="00F142BB" w:rsidRDefault="00F142BB" w:rsidP="00F142BB">
      <w:pPr>
        <w:pStyle w:val="Heading3"/>
      </w:pPr>
      <w:r>
        <w:t xml:space="preserve">Ankylosing spondylitis (AS) and non-radiographic axial </w:t>
      </w:r>
      <w:proofErr w:type="spellStart"/>
      <w:r>
        <w:t>spondyloarthritis</w:t>
      </w:r>
      <w:proofErr w:type="spellEnd"/>
      <w:r>
        <w:t xml:space="preserve"> (nr-</w:t>
      </w:r>
      <w:proofErr w:type="spellStart"/>
      <w:r>
        <w:t>axSpA</w:t>
      </w:r>
      <w:proofErr w:type="spellEnd"/>
      <w:r>
        <w:t>)</w:t>
      </w:r>
      <w:r w:rsidRPr="000E738D">
        <w:rPr>
          <w:vertAlign w:val="superscript"/>
        </w:rPr>
        <w:t>1</w:t>
      </w:r>
      <w:r w:rsidRPr="0013238F">
        <w:rPr>
          <w:vertAlign w:val="superscript"/>
        </w:rPr>
        <w:t>-</w:t>
      </w:r>
      <w:r w:rsidR="004E77A9">
        <w:rPr>
          <w:vertAlign w:val="superscript"/>
        </w:rPr>
        <w:t>20</w:t>
      </w:r>
      <w:r w:rsidR="0013238F" w:rsidRPr="0013238F">
        <w:rPr>
          <w:vertAlign w:val="superscript"/>
        </w:rPr>
        <w:t>,</w:t>
      </w:r>
      <w:r w:rsidR="004E77A9">
        <w:rPr>
          <w:vertAlign w:val="superscript"/>
        </w:rPr>
        <w:t>30</w:t>
      </w:r>
      <w:r w:rsidR="000D126F">
        <w:rPr>
          <w:vertAlign w:val="superscript"/>
        </w:rPr>
        <w:t>,</w:t>
      </w:r>
      <w:r w:rsidR="0013238F" w:rsidRPr="0013238F">
        <w:rPr>
          <w:vertAlign w:val="superscript"/>
        </w:rPr>
        <w:t>3</w:t>
      </w:r>
      <w:r w:rsidR="004E77A9">
        <w:rPr>
          <w:vertAlign w:val="superscript"/>
        </w:rPr>
        <w:t>1</w:t>
      </w:r>
    </w:p>
    <w:p w14:paraId="3C09359A" w14:textId="155225C4" w:rsidR="00F142BB" w:rsidRDefault="00F142BB" w:rsidP="004B71E5">
      <w:pPr>
        <w:pStyle w:val="BodyText"/>
      </w:pPr>
      <w:r>
        <w:t>Authorization of 12 months may be granted for all adult members (including new members) who are using the requested medication for ankylosing spondylitis or non-radiographic axial spondyloarthritis and who achieve or maintain a positive clinical response as evidenced by low disease activity or improvement in signs and symptoms of the condition when there is improvement in any of the following from baseline:</w:t>
      </w:r>
    </w:p>
    <w:p w14:paraId="51118478" w14:textId="77777777" w:rsidR="00F142BB" w:rsidRPr="00F142BB" w:rsidRDefault="00F142BB" w:rsidP="000D5F54">
      <w:pPr>
        <w:pStyle w:val="ListParagraph"/>
        <w:numPr>
          <w:ilvl w:val="0"/>
          <w:numId w:val="49"/>
        </w:numPr>
      </w:pPr>
      <w:r w:rsidRPr="00F142BB">
        <w:t>Functional status</w:t>
      </w:r>
    </w:p>
    <w:p w14:paraId="2813C23E" w14:textId="77777777" w:rsidR="00F142BB" w:rsidRPr="00F142BB" w:rsidRDefault="00F142BB" w:rsidP="000D5F54">
      <w:pPr>
        <w:pStyle w:val="ListParagraph"/>
        <w:numPr>
          <w:ilvl w:val="0"/>
          <w:numId w:val="49"/>
        </w:numPr>
      </w:pPr>
      <w:r w:rsidRPr="00F142BB">
        <w:t>Total spinal pain</w:t>
      </w:r>
    </w:p>
    <w:p w14:paraId="190F856A" w14:textId="77777777" w:rsidR="00F142BB" w:rsidRPr="00712D7E" w:rsidRDefault="00F142BB" w:rsidP="000D5F54">
      <w:pPr>
        <w:pStyle w:val="ListParagraph"/>
        <w:numPr>
          <w:ilvl w:val="0"/>
          <w:numId w:val="49"/>
        </w:numPr>
        <w:rPr>
          <w:lang w:val="sv-SE"/>
        </w:rPr>
      </w:pPr>
      <w:r w:rsidRPr="00712D7E">
        <w:rPr>
          <w:lang w:val="sv-SE"/>
        </w:rPr>
        <w:t>Inflammation (e.g., morning stiffness)</w:t>
      </w:r>
    </w:p>
    <w:p w14:paraId="037DF287" w14:textId="77777777" w:rsidR="00F142BB" w:rsidRPr="00F142BB" w:rsidRDefault="00F142BB" w:rsidP="000D5F54">
      <w:pPr>
        <w:pStyle w:val="ListParagraph"/>
        <w:numPr>
          <w:ilvl w:val="0"/>
          <w:numId w:val="49"/>
        </w:numPr>
      </w:pPr>
      <w:r w:rsidRPr="00F142BB">
        <w:t>Swollen joints</w:t>
      </w:r>
    </w:p>
    <w:p w14:paraId="11CDCF4E" w14:textId="77777777" w:rsidR="00F142BB" w:rsidRPr="00F142BB" w:rsidRDefault="00F142BB" w:rsidP="000D5F54">
      <w:pPr>
        <w:pStyle w:val="ListParagraph"/>
        <w:numPr>
          <w:ilvl w:val="0"/>
          <w:numId w:val="49"/>
        </w:numPr>
      </w:pPr>
      <w:r w:rsidRPr="00F142BB">
        <w:t>Tender joints</w:t>
      </w:r>
    </w:p>
    <w:p w14:paraId="58E7D3AD" w14:textId="1F96A7E6" w:rsidR="00F142BB" w:rsidRDefault="00F142BB" w:rsidP="000D5F54">
      <w:pPr>
        <w:pStyle w:val="ListParagraph"/>
        <w:numPr>
          <w:ilvl w:val="0"/>
          <w:numId w:val="49"/>
        </w:numPr>
      </w:pPr>
      <w:r w:rsidRPr="00F142BB">
        <w:t>C-reactive protein (CRP)</w:t>
      </w:r>
    </w:p>
    <w:p w14:paraId="0CDA940D" w14:textId="13323377" w:rsidR="00A65E69" w:rsidRPr="00A65E69" w:rsidRDefault="00A65E69" w:rsidP="00A65E69">
      <w:pPr>
        <w:pStyle w:val="Heading3"/>
      </w:pPr>
      <w:r w:rsidRPr="00A65E69">
        <w:t>Crohn’s disease (CD)</w:t>
      </w:r>
      <w:r w:rsidRPr="000E738D">
        <w:rPr>
          <w:vertAlign w:val="superscript"/>
        </w:rPr>
        <w:t>1</w:t>
      </w:r>
      <w:r w:rsidRPr="0013238F">
        <w:rPr>
          <w:vertAlign w:val="superscript"/>
        </w:rPr>
        <w:t>-</w:t>
      </w:r>
      <w:r w:rsidR="0013238F" w:rsidRPr="0013238F">
        <w:rPr>
          <w:vertAlign w:val="superscript"/>
        </w:rPr>
        <w:t>1</w:t>
      </w:r>
      <w:r w:rsidR="004E77A9">
        <w:rPr>
          <w:vertAlign w:val="superscript"/>
        </w:rPr>
        <w:t>9</w:t>
      </w:r>
      <w:r w:rsidR="0013238F" w:rsidRPr="0013238F">
        <w:rPr>
          <w:vertAlign w:val="superscript"/>
        </w:rPr>
        <w:t>,3</w:t>
      </w:r>
      <w:r w:rsidR="004E77A9">
        <w:rPr>
          <w:vertAlign w:val="superscript"/>
        </w:rPr>
        <w:t>2</w:t>
      </w:r>
      <w:r w:rsidR="0013238F" w:rsidRPr="0013238F">
        <w:rPr>
          <w:vertAlign w:val="superscript"/>
        </w:rPr>
        <w:t>,3</w:t>
      </w:r>
      <w:r w:rsidR="004E77A9">
        <w:rPr>
          <w:vertAlign w:val="superscript"/>
        </w:rPr>
        <w:t>3</w:t>
      </w:r>
      <w:r w:rsidR="0013238F" w:rsidRPr="0013238F">
        <w:rPr>
          <w:vertAlign w:val="superscript"/>
        </w:rPr>
        <w:t>,5</w:t>
      </w:r>
      <w:r w:rsidR="004E77A9">
        <w:rPr>
          <w:vertAlign w:val="superscript"/>
        </w:rPr>
        <w:t>4</w:t>
      </w:r>
    </w:p>
    <w:p w14:paraId="68AA8211" w14:textId="16A14C96" w:rsidR="00A65E69" w:rsidRDefault="00A65E69" w:rsidP="0050044C">
      <w:pPr>
        <w:pStyle w:val="BodyText"/>
      </w:pPr>
      <w:r>
        <w:t>Authorization of 12 months may be granted for all members (including new members) who are using the requested medication for moderately to severely active Crohn’s disease and who achieve or maintain remission.</w:t>
      </w:r>
    </w:p>
    <w:p w14:paraId="0910D560" w14:textId="4503C95E" w:rsidR="00A65E69" w:rsidRDefault="00A65E69" w:rsidP="0050044C">
      <w:pPr>
        <w:pStyle w:val="BodyText"/>
      </w:pPr>
      <w:r>
        <w:t>Authorization of 12 months may be granted for all members (including new members) who are using the requested medication for moderately to severely active Crohn’s disease and who achieve or maintain a positive clinical response as evidenced by low disease activity or improvement in signs and symptoms of the condition when there is improvement in any of the following from baseline:</w:t>
      </w:r>
    </w:p>
    <w:p w14:paraId="59114530" w14:textId="77777777" w:rsidR="00A65E69" w:rsidRPr="00A65E69" w:rsidRDefault="00A65E69" w:rsidP="000D5F54">
      <w:pPr>
        <w:pStyle w:val="ListParagraph"/>
        <w:numPr>
          <w:ilvl w:val="0"/>
          <w:numId w:val="50"/>
        </w:numPr>
      </w:pPr>
      <w:r w:rsidRPr="00A65E69">
        <w:t>Abdominal pain or tenderness</w:t>
      </w:r>
    </w:p>
    <w:p w14:paraId="48A59B0A" w14:textId="2E3E406A" w:rsidR="001B7A6C" w:rsidRPr="00712D7E" w:rsidRDefault="00A65E69" w:rsidP="000D5F54">
      <w:pPr>
        <w:pStyle w:val="ListParagraph"/>
        <w:numPr>
          <w:ilvl w:val="0"/>
          <w:numId w:val="50"/>
        </w:numPr>
      </w:pPr>
      <w:r w:rsidRPr="00712D7E">
        <w:t>Diarrhea</w:t>
      </w:r>
    </w:p>
    <w:p w14:paraId="182D972E" w14:textId="77777777" w:rsidR="00A65E69" w:rsidRPr="00A65E69" w:rsidRDefault="00A65E69" w:rsidP="000D5F54">
      <w:pPr>
        <w:pStyle w:val="ListParagraph"/>
        <w:numPr>
          <w:ilvl w:val="0"/>
          <w:numId w:val="50"/>
        </w:numPr>
      </w:pPr>
      <w:r w:rsidRPr="00A65E69">
        <w:t>Body weight</w:t>
      </w:r>
    </w:p>
    <w:p w14:paraId="280D6DDE" w14:textId="77777777" w:rsidR="00A65E69" w:rsidRPr="00A65E69" w:rsidRDefault="00A65E69" w:rsidP="000D5F54">
      <w:pPr>
        <w:pStyle w:val="ListParagraph"/>
        <w:numPr>
          <w:ilvl w:val="0"/>
          <w:numId w:val="50"/>
        </w:numPr>
      </w:pPr>
      <w:r w:rsidRPr="00A65E69">
        <w:t>Abdominal mass</w:t>
      </w:r>
    </w:p>
    <w:p w14:paraId="263CB34B" w14:textId="77777777" w:rsidR="00A65E69" w:rsidRPr="00A65E69" w:rsidRDefault="00A65E69" w:rsidP="000D5F54">
      <w:pPr>
        <w:pStyle w:val="ListParagraph"/>
        <w:numPr>
          <w:ilvl w:val="0"/>
          <w:numId w:val="50"/>
        </w:numPr>
      </w:pPr>
      <w:r w:rsidRPr="00A65E69">
        <w:t>Hematocrit</w:t>
      </w:r>
    </w:p>
    <w:p w14:paraId="1439B3DD" w14:textId="309A8CD3" w:rsidR="001B7A6C" w:rsidRPr="00712D7E" w:rsidRDefault="00A65E69" w:rsidP="000D5F54">
      <w:pPr>
        <w:pStyle w:val="ListParagraph"/>
        <w:numPr>
          <w:ilvl w:val="0"/>
          <w:numId w:val="50"/>
        </w:numPr>
      </w:pPr>
      <w:r w:rsidRPr="00712D7E">
        <w:lastRenderedPageBreak/>
        <w:t xml:space="preserve">Appearance of the mucosa on endoscopy, computed tomography </w:t>
      </w:r>
      <w:proofErr w:type="spellStart"/>
      <w:r w:rsidRPr="00712D7E">
        <w:t>enterography</w:t>
      </w:r>
      <w:proofErr w:type="spellEnd"/>
      <w:r w:rsidRPr="00712D7E">
        <w:t xml:space="preserve"> (CTE), magnetic resonance </w:t>
      </w:r>
      <w:proofErr w:type="spellStart"/>
      <w:r w:rsidRPr="00712D7E">
        <w:t>enterography</w:t>
      </w:r>
      <w:proofErr w:type="spellEnd"/>
      <w:r w:rsidRPr="00712D7E">
        <w:t xml:space="preserve"> (MRE), or intestinal ultrasound</w:t>
      </w:r>
    </w:p>
    <w:p w14:paraId="66D3BD24" w14:textId="77777777" w:rsidR="00A65E69" w:rsidRDefault="00A65E69" w:rsidP="000D5F54">
      <w:pPr>
        <w:pStyle w:val="ListParagraph"/>
        <w:numPr>
          <w:ilvl w:val="0"/>
          <w:numId w:val="50"/>
        </w:numPr>
      </w:pPr>
      <w:r w:rsidRPr="00A65E69">
        <w:t>Improvement on a disease activity scoring tool (e.g., Crohn’s Disease Activity Index [CDAI] score)</w:t>
      </w:r>
    </w:p>
    <w:p w14:paraId="33CDB2B0" w14:textId="2E15B231" w:rsidR="00A65E69" w:rsidRDefault="00A65E69" w:rsidP="00A65E69">
      <w:pPr>
        <w:pStyle w:val="Heading3"/>
      </w:pPr>
      <w:r>
        <w:t>Ulcerative colitis (UC)</w:t>
      </w:r>
      <w:r w:rsidRPr="000E738D">
        <w:rPr>
          <w:vertAlign w:val="superscript"/>
        </w:rPr>
        <w:t>1</w:t>
      </w:r>
      <w:r w:rsidRPr="0013238F">
        <w:rPr>
          <w:vertAlign w:val="superscript"/>
        </w:rPr>
        <w:t>-</w:t>
      </w:r>
      <w:r w:rsidR="0013238F" w:rsidRPr="0013238F">
        <w:rPr>
          <w:vertAlign w:val="superscript"/>
        </w:rPr>
        <w:t>1</w:t>
      </w:r>
      <w:r w:rsidR="004E77A9">
        <w:rPr>
          <w:vertAlign w:val="superscript"/>
        </w:rPr>
        <w:t>9</w:t>
      </w:r>
      <w:r w:rsidR="0013238F" w:rsidRPr="0013238F">
        <w:rPr>
          <w:vertAlign w:val="superscript"/>
        </w:rPr>
        <w:t>,3</w:t>
      </w:r>
      <w:r w:rsidR="004E77A9">
        <w:rPr>
          <w:vertAlign w:val="superscript"/>
        </w:rPr>
        <w:t>2</w:t>
      </w:r>
      <w:r w:rsidR="0013238F" w:rsidRPr="0013238F">
        <w:rPr>
          <w:vertAlign w:val="superscript"/>
        </w:rPr>
        <w:t>,4</w:t>
      </w:r>
      <w:r w:rsidR="004E77A9">
        <w:rPr>
          <w:vertAlign w:val="superscript"/>
        </w:rPr>
        <w:t>1</w:t>
      </w:r>
      <w:r w:rsidR="0013238F" w:rsidRPr="0013238F">
        <w:rPr>
          <w:vertAlign w:val="superscript"/>
        </w:rPr>
        <w:t>,</w:t>
      </w:r>
      <w:r w:rsidR="00405574">
        <w:rPr>
          <w:vertAlign w:val="superscript"/>
        </w:rPr>
        <w:t>4</w:t>
      </w:r>
      <w:r w:rsidR="004E77A9">
        <w:rPr>
          <w:vertAlign w:val="superscript"/>
        </w:rPr>
        <w:t>9</w:t>
      </w:r>
    </w:p>
    <w:p w14:paraId="754CD397" w14:textId="058DF85A" w:rsidR="00A65E69" w:rsidRDefault="00A65E69" w:rsidP="0050044C">
      <w:pPr>
        <w:pStyle w:val="BodyText"/>
      </w:pPr>
      <w:r>
        <w:t>Authorization of 12 months may be granted for all members (including new members) who are using the requested medication for moderately to severely active ulcerative colitis and who achieve or maintain remission.</w:t>
      </w:r>
    </w:p>
    <w:p w14:paraId="5AB8F3C7" w14:textId="327D403B" w:rsidR="00A65E69" w:rsidRPr="00A65E69" w:rsidRDefault="00A65E69" w:rsidP="0050044C">
      <w:pPr>
        <w:pStyle w:val="BodyText"/>
      </w:pPr>
      <w:r>
        <w:t>Authorization of 12 months may be granted for all members (including new members) who are using the requested medication for moderately to severely active ulcerative colitis and who achieve or maintain a positive clinical response as evidenced by low disease activity or improvement in signs and symptoms of the condition when there is improvement in any of the following from baseline:</w:t>
      </w:r>
    </w:p>
    <w:p w14:paraId="04B5E7FA" w14:textId="206212D6" w:rsidR="001B7A6C" w:rsidRDefault="00A65E69" w:rsidP="000D5F54">
      <w:pPr>
        <w:pStyle w:val="ListParagraph"/>
        <w:numPr>
          <w:ilvl w:val="0"/>
          <w:numId w:val="59"/>
        </w:numPr>
      </w:pPr>
      <w:r w:rsidRPr="00A65E69">
        <w:t>Stool frequency</w:t>
      </w:r>
    </w:p>
    <w:p w14:paraId="51910842" w14:textId="63C0F22A" w:rsidR="001B7A6C" w:rsidRDefault="00A65E69" w:rsidP="000D5F54">
      <w:pPr>
        <w:pStyle w:val="ListParagraph"/>
        <w:numPr>
          <w:ilvl w:val="0"/>
          <w:numId w:val="59"/>
        </w:numPr>
      </w:pPr>
      <w:r w:rsidRPr="00A65E69">
        <w:t>Rectal bleeding</w:t>
      </w:r>
    </w:p>
    <w:p w14:paraId="43F6ACC9" w14:textId="5D6E6EAE" w:rsidR="001B7A6C" w:rsidRDefault="00A65E69" w:rsidP="000D5F54">
      <w:pPr>
        <w:pStyle w:val="ListParagraph"/>
        <w:numPr>
          <w:ilvl w:val="0"/>
          <w:numId w:val="59"/>
        </w:numPr>
      </w:pPr>
      <w:r w:rsidRPr="00A65E69">
        <w:t>Urgency of defecation</w:t>
      </w:r>
    </w:p>
    <w:p w14:paraId="4B60FF72" w14:textId="77777777" w:rsidR="00A65E69" w:rsidRPr="00A65E69" w:rsidRDefault="00A65E69" w:rsidP="000D5F54">
      <w:pPr>
        <w:pStyle w:val="ListParagraph"/>
        <w:numPr>
          <w:ilvl w:val="0"/>
          <w:numId w:val="59"/>
        </w:numPr>
      </w:pPr>
      <w:r w:rsidRPr="00A65E69">
        <w:t>C-reactive protein (CRP)</w:t>
      </w:r>
    </w:p>
    <w:p w14:paraId="63349DF1" w14:textId="77777777" w:rsidR="00A65E69" w:rsidRPr="00A65E69" w:rsidRDefault="00A65E69" w:rsidP="000D5F54">
      <w:pPr>
        <w:pStyle w:val="ListParagraph"/>
        <w:numPr>
          <w:ilvl w:val="0"/>
          <w:numId w:val="59"/>
        </w:numPr>
      </w:pPr>
      <w:r w:rsidRPr="00A65E69">
        <w:t>Fecal calprotectin (FC)</w:t>
      </w:r>
    </w:p>
    <w:p w14:paraId="694F6891" w14:textId="1CDDC79D" w:rsidR="001B7A6C" w:rsidRDefault="00A65E69" w:rsidP="000D5F54">
      <w:pPr>
        <w:pStyle w:val="ListParagraph"/>
        <w:numPr>
          <w:ilvl w:val="0"/>
          <w:numId w:val="59"/>
        </w:numPr>
      </w:pPr>
      <w:r w:rsidRPr="00A65E69">
        <w:t xml:space="preserve">Appearance of the mucosa on endoscopy, computed tomography </w:t>
      </w:r>
      <w:proofErr w:type="spellStart"/>
      <w:r w:rsidRPr="00A65E69">
        <w:t>enterography</w:t>
      </w:r>
      <w:proofErr w:type="spellEnd"/>
      <w:r w:rsidRPr="00A65E69">
        <w:t xml:space="preserve"> (CTE), magnetic resonance </w:t>
      </w:r>
      <w:proofErr w:type="spellStart"/>
      <w:r w:rsidRPr="00A65E69">
        <w:t>enterography</w:t>
      </w:r>
      <w:proofErr w:type="spellEnd"/>
      <w:r w:rsidRPr="00A65E69">
        <w:t xml:space="preserve"> (MRE), or intestinal ultrasound</w:t>
      </w:r>
    </w:p>
    <w:p w14:paraId="13BCE956" w14:textId="207CE5DB" w:rsidR="00A65E69" w:rsidRDefault="00A65E69" w:rsidP="000D5F54">
      <w:pPr>
        <w:pStyle w:val="ListParagraph"/>
        <w:numPr>
          <w:ilvl w:val="0"/>
          <w:numId w:val="59"/>
        </w:numPr>
      </w:pPr>
      <w:r w:rsidRPr="00A65E69">
        <w:t>Improvement on a disease activity scoring tool (e.g., Ulcerative Colitis Endoscopic Index of Severity [UCEIS], Mayo score)</w:t>
      </w:r>
    </w:p>
    <w:p w14:paraId="70449F42" w14:textId="714B1EB9" w:rsidR="0030576C" w:rsidRDefault="0030576C" w:rsidP="000D5F54">
      <w:pPr>
        <w:pStyle w:val="Heading3"/>
      </w:pPr>
      <w:r>
        <w:t>Plaque psoriasis (</w:t>
      </w:r>
      <w:proofErr w:type="spellStart"/>
      <w:r>
        <w:t>PsO</w:t>
      </w:r>
      <w:proofErr w:type="spellEnd"/>
      <w:r>
        <w:t>)</w:t>
      </w:r>
      <w:r w:rsidRPr="000E738D">
        <w:rPr>
          <w:vertAlign w:val="superscript"/>
        </w:rPr>
        <w:t>1</w:t>
      </w:r>
      <w:r w:rsidRPr="0013238F">
        <w:rPr>
          <w:vertAlign w:val="superscript"/>
        </w:rPr>
        <w:t>-1</w:t>
      </w:r>
      <w:r w:rsidR="004E77A9">
        <w:rPr>
          <w:vertAlign w:val="superscript"/>
        </w:rPr>
        <w:t>9</w:t>
      </w:r>
      <w:r w:rsidRPr="0013238F">
        <w:rPr>
          <w:vertAlign w:val="superscript"/>
        </w:rPr>
        <w:t>,2</w:t>
      </w:r>
      <w:r w:rsidR="004E77A9">
        <w:rPr>
          <w:vertAlign w:val="superscript"/>
        </w:rPr>
        <w:t>9</w:t>
      </w:r>
      <w:r w:rsidRPr="0013238F">
        <w:rPr>
          <w:vertAlign w:val="superscript"/>
        </w:rPr>
        <w:t>,</w:t>
      </w:r>
      <w:r w:rsidR="00EC78C1">
        <w:rPr>
          <w:vertAlign w:val="superscript"/>
        </w:rPr>
        <w:t>3</w:t>
      </w:r>
      <w:r w:rsidR="004E77A9">
        <w:rPr>
          <w:vertAlign w:val="superscript"/>
        </w:rPr>
        <w:t>8</w:t>
      </w:r>
      <w:r w:rsidRPr="0013238F">
        <w:rPr>
          <w:vertAlign w:val="superscript"/>
        </w:rPr>
        <w:t>,4</w:t>
      </w:r>
      <w:r w:rsidR="004E77A9">
        <w:rPr>
          <w:vertAlign w:val="superscript"/>
        </w:rPr>
        <w:t>2</w:t>
      </w:r>
      <w:r w:rsidRPr="0013238F">
        <w:rPr>
          <w:vertAlign w:val="superscript"/>
        </w:rPr>
        <w:t>,</w:t>
      </w:r>
      <w:r w:rsidRPr="00844E89">
        <w:rPr>
          <w:vertAlign w:val="superscript"/>
        </w:rPr>
        <w:t>4</w:t>
      </w:r>
      <w:r w:rsidR="004E77A9">
        <w:rPr>
          <w:vertAlign w:val="superscript"/>
        </w:rPr>
        <w:t>3</w:t>
      </w:r>
    </w:p>
    <w:p w14:paraId="7CEA8B58" w14:textId="3B2B4E75" w:rsidR="00A65E69" w:rsidRDefault="00A65E69" w:rsidP="0050044C">
      <w:pPr>
        <w:pStyle w:val="BodyText"/>
      </w:pPr>
      <w:r>
        <w:t>Authorization of 12 months may be granted for all adult members (including new members) who are using the requested medication for moderate to severe plaque psoriasis and who achieve or maintain a positive clinical response as evidenced by low disease activity or improvement in signs and symptoms of the condition when either of the following is met:</w:t>
      </w:r>
    </w:p>
    <w:p w14:paraId="5E480663" w14:textId="77777777" w:rsidR="0058445D" w:rsidRPr="0058445D" w:rsidRDefault="0058445D" w:rsidP="000D5F54">
      <w:pPr>
        <w:pStyle w:val="ListParagraph"/>
        <w:numPr>
          <w:ilvl w:val="0"/>
          <w:numId w:val="53"/>
        </w:numPr>
      </w:pPr>
      <w:r w:rsidRPr="0058445D">
        <w:t>Reduction in body surface area (BSA) affected from baseline</w:t>
      </w:r>
    </w:p>
    <w:p w14:paraId="18AF5A74" w14:textId="0C29EBE5" w:rsidR="0058445D" w:rsidRDefault="0058445D" w:rsidP="000D5F54">
      <w:pPr>
        <w:pStyle w:val="ListParagraph"/>
        <w:numPr>
          <w:ilvl w:val="0"/>
          <w:numId w:val="53"/>
        </w:numPr>
      </w:pPr>
      <w:r w:rsidRPr="0058445D">
        <w:t>Improvement in signs and symptoms from baseline (e.g., itching, redness, flaking, scaling, burning, cracking, pain)</w:t>
      </w:r>
    </w:p>
    <w:p w14:paraId="0585E38B" w14:textId="6C600303" w:rsidR="001B7A6C" w:rsidRDefault="00DB1B2B" w:rsidP="0058445D">
      <w:pPr>
        <w:pStyle w:val="Heading3"/>
        <w:rPr>
          <w:vertAlign w:val="superscript"/>
        </w:rPr>
      </w:pPr>
      <w:r>
        <w:t>Hidradenitis suppurativa</w:t>
      </w:r>
      <w:r w:rsidRPr="000D5F54">
        <w:rPr>
          <w:vertAlign w:val="superscript"/>
        </w:rPr>
        <w:t>1-1</w:t>
      </w:r>
      <w:r w:rsidR="004E77A9">
        <w:rPr>
          <w:vertAlign w:val="superscript"/>
        </w:rPr>
        <w:t>9</w:t>
      </w:r>
      <w:r w:rsidRPr="000D5F54">
        <w:rPr>
          <w:vertAlign w:val="superscript"/>
        </w:rPr>
        <w:t>,</w:t>
      </w:r>
      <w:r w:rsidR="004E77A9">
        <w:rPr>
          <w:vertAlign w:val="superscript"/>
        </w:rPr>
        <w:t>50</w:t>
      </w:r>
      <w:r w:rsidRPr="000D5F54">
        <w:rPr>
          <w:vertAlign w:val="superscript"/>
        </w:rPr>
        <w:t>,5</w:t>
      </w:r>
      <w:r w:rsidR="004E77A9">
        <w:rPr>
          <w:vertAlign w:val="superscript"/>
        </w:rPr>
        <w:t>1</w:t>
      </w:r>
    </w:p>
    <w:p w14:paraId="4975737E" w14:textId="364373F5" w:rsidR="0058445D" w:rsidRDefault="0058445D" w:rsidP="0050044C">
      <w:pPr>
        <w:pStyle w:val="BodyText"/>
      </w:pPr>
      <w:r>
        <w:t>Authorization of 12 months may be granted for all members 12 years of age and older (including new members) who are using the requested medication for moderate to severe hidradenitis suppurativa and who achieve or maintain a positive clinical response as evidenced by low disease activity or improvement in signs and symptoms of the condition when any of the following is met:</w:t>
      </w:r>
    </w:p>
    <w:p w14:paraId="1E5928C7" w14:textId="77777777" w:rsidR="0058445D" w:rsidRPr="0058445D" w:rsidRDefault="0058445D" w:rsidP="000D5F54">
      <w:pPr>
        <w:pStyle w:val="ListParagraph"/>
        <w:numPr>
          <w:ilvl w:val="0"/>
          <w:numId w:val="54"/>
        </w:numPr>
      </w:pPr>
      <w:r w:rsidRPr="0058445D">
        <w:t>Reduction in abscess and inflammatory nodule count from baseline</w:t>
      </w:r>
    </w:p>
    <w:p w14:paraId="5D7E1137" w14:textId="77777777" w:rsidR="0058445D" w:rsidRPr="0058445D" w:rsidRDefault="0058445D" w:rsidP="000D5F54">
      <w:pPr>
        <w:pStyle w:val="ListParagraph"/>
        <w:numPr>
          <w:ilvl w:val="0"/>
          <w:numId w:val="54"/>
        </w:numPr>
      </w:pPr>
      <w:r w:rsidRPr="0058445D">
        <w:t>Reduced formation of new sinus tracts and scarring</w:t>
      </w:r>
    </w:p>
    <w:p w14:paraId="48674A4A" w14:textId="77777777" w:rsidR="0058445D" w:rsidRPr="0058445D" w:rsidRDefault="0058445D" w:rsidP="000D5F54">
      <w:pPr>
        <w:pStyle w:val="ListParagraph"/>
        <w:numPr>
          <w:ilvl w:val="0"/>
          <w:numId w:val="54"/>
        </w:numPr>
      </w:pPr>
      <w:r w:rsidRPr="0058445D">
        <w:lastRenderedPageBreak/>
        <w:t>Decrease in frequency of inflammatory lesions from baseline</w:t>
      </w:r>
    </w:p>
    <w:p w14:paraId="3D99D485" w14:textId="77777777" w:rsidR="0058445D" w:rsidRPr="0058445D" w:rsidRDefault="0058445D" w:rsidP="000D5F54">
      <w:pPr>
        <w:pStyle w:val="ListParagraph"/>
        <w:numPr>
          <w:ilvl w:val="0"/>
          <w:numId w:val="54"/>
        </w:numPr>
      </w:pPr>
      <w:r w:rsidRPr="0058445D">
        <w:t>Reduction in pain from baseline</w:t>
      </w:r>
    </w:p>
    <w:p w14:paraId="517AD1C6" w14:textId="77777777" w:rsidR="0058445D" w:rsidRPr="0058445D" w:rsidRDefault="0058445D" w:rsidP="000D5F54">
      <w:pPr>
        <w:pStyle w:val="ListParagraph"/>
        <w:numPr>
          <w:ilvl w:val="0"/>
          <w:numId w:val="54"/>
        </w:numPr>
      </w:pPr>
      <w:r w:rsidRPr="0058445D">
        <w:t>Reduction in suppuration from baseline</w:t>
      </w:r>
    </w:p>
    <w:p w14:paraId="6FCE8280" w14:textId="77777777" w:rsidR="0058445D" w:rsidRPr="0058445D" w:rsidRDefault="0058445D" w:rsidP="000D5F54">
      <w:pPr>
        <w:pStyle w:val="ListParagraph"/>
        <w:numPr>
          <w:ilvl w:val="0"/>
          <w:numId w:val="54"/>
        </w:numPr>
      </w:pPr>
      <w:r w:rsidRPr="0058445D">
        <w:t>Improvement in frequency of relapses from baseline</w:t>
      </w:r>
    </w:p>
    <w:p w14:paraId="60716614" w14:textId="77777777" w:rsidR="0058445D" w:rsidRPr="0058445D" w:rsidRDefault="0058445D" w:rsidP="000D5F54">
      <w:pPr>
        <w:pStyle w:val="ListParagraph"/>
        <w:numPr>
          <w:ilvl w:val="0"/>
          <w:numId w:val="54"/>
        </w:numPr>
      </w:pPr>
      <w:r w:rsidRPr="0058445D">
        <w:t>Improvement in quality of life from baseline</w:t>
      </w:r>
    </w:p>
    <w:p w14:paraId="134D7239" w14:textId="7965F796" w:rsidR="0058445D" w:rsidRDefault="0058445D" w:rsidP="000D5F54">
      <w:pPr>
        <w:pStyle w:val="ListParagraph"/>
        <w:numPr>
          <w:ilvl w:val="0"/>
          <w:numId w:val="54"/>
        </w:numPr>
      </w:pPr>
      <w:r w:rsidRPr="0058445D">
        <w:t>Improvement on a disease severity assessment tool from baseline</w:t>
      </w:r>
    </w:p>
    <w:p w14:paraId="0FDDE9D8" w14:textId="0B270B46" w:rsidR="0058445D" w:rsidRDefault="0058445D" w:rsidP="0058445D">
      <w:pPr>
        <w:pStyle w:val="Heading3"/>
      </w:pPr>
      <w:r>
        <w:t>Uveitis (non-infectious intermediate, posterior and panuveitis)</w:t>
      </w:r>
      <w:r w:rsidRPr="0013238F">
        <w:rPr>
          <w:vertAlign w:val="superscript"/>
        </w:rPr>
        <w:t>1-</w:t>
      </w:r>
      <w:r w:rsidR="0013238F" w:rsidRPr="0013238F">
        <w:rPr>
          <w:vertAlign w:val="superscript"/>
        </w:rPr>
        <w:t>1</w:t>
      </w:r>
      <w:r w:rsidR="004E77A9">
        <w:rPr>
          <w:vertAlign w:val="superscript"/>
        </w:rPr>
        <w:t>9</w:t>
      </w:r>
      <w:r w:rsidR="0013238F" w:rsidRPr="0013238F">
        <w:rPr>
          <w:vertAlign w:val="superscript"/>
        </w:rPr>
        <w:t>,</w:t>
      </w:r>
      <w:r w:rsidR="00262E9E">
        <w:rPr>
          <w:vertAlign w:val="superscript"/>
        </w:rPr>
        <w:t>4</w:t>
      </w:r>
      <w:r w:rsidR="004E77A9">
        <w:rPr>
          <w:vertAlign w:val="superscript"/>
        </w:rPr>
        <w:t>6</w:t>
      </w:r>
      <w:r w:rsidR="0013238F" w:rsidRPr="0013238F">
        <w:rPr>
          <w:vertAlign w:val="superscript"/>
        </w:rPr>
        <w:t>,</w:t>
      </w:r>
      <w:r w:rsidR="00262E9E">
        <w:rPr>
          <w:vertAlign w:val="superscript"/>
        </w:rPr>
        <w:t>4</w:t>
      </w:r>
      <w:r w:rsidR="004E77A9">
        <w:rPr>
          <w:vertAlign w:val="superscript"/>
        </w:rPr>
        <w:t>7</w:t>
      </w:r>
    </w:p>
    <w:p w14:paraId="7D4F7FDE" w14:textId="7DB284C8" w:rsidR="0058445D" w:rsidRPr="0050044C" w:rsidRDefault="0058445D" w:rsidP="0050044C">
      <w:pPr>
        <w:pStyle w:val="BodyText"/>
      </w:pPr>
      <w:r w:rsidRPr="0050044C">
        <w:t>Authorization of 12 months may be granted for all members 2 years of age and older (including new members) who are using the requested medication for non-infectious intermediate, posterior, and panuveitis and who achieve or maintain a positive clinical response as evidenced by low disease activity or improvement in signs and symptoms of the condition when any of the following</w:t>
      </w:r>
      <w:r w:rsidR="00D94752">
        <w:t xml:space="preserve"> is met</w:t>
      </w:r>
      <w:r w:rsidRPr="0050044C">
        <w:t>:</w:t>
      </w:r>
    </w:p>
    <w:p w14:paraId="33A3F0E1" w14:textId="77777777" w:rsidR="0058445D" w:rsidRPr="0058445D" w:rsidRDefault="0058445D" w:rsidP="000D5F54">
      <w:pPr>
        <w:pStyle w:val="ListParagraph"/>
        <w:numPr>
          <w:ilvl w:val="0"/>
          <w:numId w:val="55"/>
        </w:numPr>
      </w:pPr>
      <w:r w:rsidRPr="0058445D">
        <w:t>Reduced frequency of disease flares compared to baseline</w:t>
      </w:r>
    </w:p>
    <w:p w14:paraId="335CC626" w14:textId="77777777" w:rsidR="0058445D" w:rsidRPr="0058445D" w:rsidRDefault="0058445D" w:rsidP="000D5F54">
      <w:pPr>
        <w:pStyle w:val="ListParagraph"/>
        <w:numPr>
          <w:ilvl w:val="0"/>
          <w:numId w:val="55"/>
        </w:numPr>
      </w:pPr>
      <w:r w:rsidRPr="0058445D">
        <w:t>Stability or improvement in anterior chamber (AC) cell grade compared to baseline</w:t>
      </w:r>
    </w:p>
    <w:p w14:paraId="092A748D" w14:textId="77777777" w:rsidR="0058445D" w:rsidRPr="0058445D" w:rsidRDefault="0058445D" w:rsidP="000D5F54">
      <w:pPr>
        <w:pStyle w:val="ListParagraph"/>
        <w:numPr>
          <w:ilvl w:val="0"/>
          <w:numId w:val="55"/>
        </w:numPr>
      </w:pPr>
      <w:r w:rsidRPr="0058445D">
        <w:t>Stability or improvement in vitreous haze (VH) grade compared to baseline</w:t>
      </w:r>
    </w:p>
    <w:p w14:paraId="3CC60968" w14:textId="77777777" w:rsidR="0058445D" w:rsidRPr="0058445D" w:rsidRDefault="0058445D" w:rsidP="000D5F54">
      <w:pPr>
        <w:pStyle w:val="ListParagraph"/>
        <w:numPr>
          <w:ilvl w:val="0"/>
          <w:numId w:val="55"/>
        </w:numPr>
      </w:pPr>
      <w:r w:rsidRPr="0058445D">
        <w:t>Stability or improvement in visual acuity compared to baseline</w:t>
      </w:r>
    </w:p>
    <w:p w14:paraId="1463BFDD" w14:textId="77777777" w:rsidR="0058445D" w:rsidRPr="0058445D" w:rsidRDefault="0058445D" w:rsidP="000D5F54">
      <w:pPr>
        <w:pStyle w:val="ListParagraph"/>
        <w:numPr>
          <w:ilvl w:val="0"/>
          <w:numId w:val="55"/>
        </w:numPr>
      </w:pPr>
      <w:r w:rsidRPr="0058445D">
        <w:t>Reduction in glucocorticoid requirements from baseline</w:t>
      </w:r>
    </w:p>
    <w:p w14:paraId="58E796CB" w14:textId="51C43609" w:rsidR="0058445D" w:rsidRDefault="0058445D" w:rsidP="000D5F54">
      <w:pPr>
        <w:pStyle w:val="ListParagraph"/>
        <w:numPr>
          <w:ilvl w:val="0"/>
          <w:numId w:val="55"/>
        </w:numPr>
      </w:pPr>
      <w:r w:rsidRPr="0058445D">
        <w:t xml:space="preserve">No new active inflammatory </w:t>
      </w:r>
      <w:proofErr w:type="spellStart"/>
      <w:r w:rsidRPr="0058445D">
        <w:t>chorioretinal</w:t>
      </w:r>
      <w:proofErr w:type="spellEnd"/>
      <w:r w:rsidRPr="0058445D">
        <w:t xml:space="preserve"> and/or inflammatory retinal vascular lesions relative to baseline</w:t>
      </w:r>
    </w:p>
    <w:p w14:paraId="4EABF5F1" w14:textId="73E83872" w:rsidR="0058445D" w:rsidRDefault="0058445D" w:rsidP="0058445D">
      <w:pPr>
        <w:pStyle w:val="Heading3"/>
      </w:pPr>
      <w:r>
        <w:t xml:space="preserve">Immune checkpoint inhibitor-related </w:t>
      </w:r>
      <w:r w:rsidR="00244FC8">
        <w:t>toxicit</w:t>
      </w:r>
      <w:r w:rsidR="00244FC8" w:rsidRPr="00244FC8">
        <w:t>y</w:t>
      </w:r>
      <w:r w:rsidR="00244FC8" w:rsidRPr="00244FC8">
        <w:rPr>
          <w:vertAlign w:val="superscript"/>
        </w:rPr>
        <w:t>5</w:t>
      </w:r>
      <w:r w:rsidR="004E77A9">
        <w:rPr>
          <w:vertAlign w:val="superscript"/>
        </w:rPr>
        <w:t>3</w:t>
      </w:r>
    </w:p>
    <w:p w14:paraId="3606F17F" w14:textId="266E57CD" w:rsidR="0058445D" w:rsidRDefault="0058445D" w:rsidP="0050044C">
      <w:pPr>
        <w:pStyle w:val="BodyText"/>
      </w:pPr>
      <w:r>
        <w:t>Authorization of 12 months may be granted for all members (including new members) who are using the requested medication for immunotherapy-related inflammatory arthritis and who achieve or maintain a positive clinical response as evidenced by low disease activity or improvement in signs and symptoms of the condition.</w:t>
      </w:r>
    </w:p>
    <w:p w14:paraId="477DE763" w14:textId="77777777" w:rsidR="00DB1B2B" w:rsidRDefault="00DB1B2B" w:rsidP="00DB1B2B">
      <w:pPr>
        <w:pStyle w:val="Heading3"/>
      </w:pPr>
      <w:r>
        <w:t>All other indications</w:t>
      </w:r>
    </w:p>
    <w:p w14:paraId="55ABA91B" w14:textId="115D62E7" w:rsidR="0058445D" w:rsidRPr="0058445D" w:rsidRDefault="0058445D" w:rsidP="0050044C">
      <w:pPr>
        <w:pStyle w:val="BodyText"/>
      </w:pPr>
      <w:r>
        <w:t>Authorization of 12 months may be granted for all members (including new members) who are using the requested medication for an indication outlined in the coverage criteria section and who achieve or maintain a positive clinical response as evidenced by low disease activity or improvement in signs and symptoms of the condition.</w:t>
      </w:r>
    </w:p>
    <w:p w14:paraId="05B6DEFF" w14:textId="23F39991" w:rsidR="008B1332" w:rsidRPr="00B53EE2" w:rsidRDefault="008B1332" w:rsidP="008B1332">
      <w:pPr>
        <w:pStyle w:val="Heading2"/>
      </w:pPr>
      <w:r w:rsidRPr="00BD1CC1">
        <w:t>Other</w:t>
      </w:r>
      <w:r w:rsidR="0058445D" w:rsidRPr="00B53EE2">
        <w:rPr>
          <w:vertAlign w:val="superscript"/>
        </w:rPr>
        <w:t>1</w:t>
      </w:r>
      <w:r w:rsidR="0058445D" w:rsidRPr="00244FC8">
        <w:rPr>
          <w:vertAlign w:val="superscript"/>
        </w:rPr>
        <w:t>-</w:t>
      </w:r>
      <w:r w:rsidR="00244FC8" w:rsidRPr="00244FC8">
        <w:rPr>
          <w:vertAlign w:val="superscript"/>
        </w:rPr>
        <w:t>1</w:t>
      </w:r>
      <w:r w:rsidR="004E77A9">
        <w:rPr>
          <w:vertAlign w:val="superscript"/>
        </w:rPr>
        <w:t>9</w:t>
      </w:r>
      <w:r w:rsidR="0058445D" w:rsidRPr="00244FC8">
        <w:rPr>
          <w:vertAlign w:val="superscript"/>
        </w:rPr>
        <w:t>,</w:t>
      </w:r>
      <w:r w:rsidR="008B461D">
        <w:rPr>
          <w:vertAlign w:val="superscript"/>
        </w:rPr>
        <w:t>3</w:t>
      </w:r>
      <w:r w:rsidR="004E77A9">
        <w:rPr>
          <w:vertAlign w:val="superscript"/>
        </w:rPr>
        <w:t>9</w:t>
      </w:r>
    </w:p>
    <w:p w14:paraId="3033A33B" w14:textId="69EE0602" w:rsidR="0058445D" w:rsidRDefault="0058445D" w:rsidP="0058445D">
      <w:pPr>
        <w:pStyle w:val="BodyText"/>
      </w:pPr>
      <w:r>
        <w:t>For all indications: Member has had a documented negative tuberculosis (TB) test (which can include a tuberculosis skin test [TST] or an interferon-release assay [IGRA]</w:t>
      </w:r>
      <w:r w:rsidRPr="004256A3">
        <w:t>)</w:t>
      </w:r>
      <w:r>
        <w:t xml:space="preserve"> within </w:t>
      </w:r>
      <w:r w:rsidR="005D45D2">
        <w:t>12</w:t>
      </w:r>
      <w:r>
        <w:t xml:space="preserve"> months of initiating therapy for persons who are naïve to biologic drugs or targeted synthetic drugs associated with an increased risk of TB.</w:t>
      </w:r>
    </w:p>
    <w:p w14:paraId="578E140F" w14:textId="0AA9D3EB" w:rsidR="0058445D" w:rsidRDefault="0058445D" w:rsidP="0058445D">
      <w:pPr>
        <w:pStyle w:val="BodyText"/>
      </w:pPr>
      <w:r>
        <w:lastRenderedPageBreak/>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01A05F5E" w14:textId="3E1160BE" w:rsidR="0058445D" w:rsidRPr="0058445D" w:rsidRDefault="0058445D" w:rsidP="0058445D">
      <w:pPr>
        <w:pStyle w:val="BodyText"/>
      </w:pPr>
      <w:r>
        <w:t>For all indications: Member cannot use the requested medication concomitantly with any other biologic drug or targeted synthetic drug for the same indication.</w:t>
      </w:r>
    </w:p>
    <w:p w14:paraId="58107ADB" w14:textId="77777777" w:rsidR="00CF2AF6" w:rsidRPr="00CF2AF6" w:rsidRDefault="00CF2AF6" w:rsidP="00CF2AF6">
      <w:pPr>
        <w:pStyle w:val="Heading2"/>
      </w:pPr>
      <w:r w:rsidRPr="00CF2AF6">
        <w:t>Dosage and Administration</w:t>
      </w:r>
    </w:p>
    <w:p w14:paraId="0B4614C7" w14:textId="77777777" w:rsidR="00CF2AF6" w:rsidRPr="00CF2AF6" w:rsidRDefault="00CF2AF6" w:rsidP="00CF2AF6">
      <w:pPr>
        <w:pStyle w:val="BodyText"/>
      </w:pPr>
      <w:r w:rsidRPr="00CF2AF6">
        <w:t>Approvals may be subject to dosing limits in accordance with FDA-approved labeling, accepted compendia, and/or evidence-based practice guidelines. For rheumatoid arthritis, member must initiate treatment with every other week dosing.</w:t>
      </w:r>
    </w:p>
    <w:p w14:paraId="67EB1670" w14:textId="022456A4" w:rsidR="00DB1B2B" w:rsidRPr="00DB1B2B" w:rsidRDefault="00DB1B2B" w:rsidP="00DB1B2B">
      <w:pPr>
        <w:keepNext/>
        <w:tabs>
          <w:tab w:val="left" w:pos="2880"/>
        </w:tabs>
        <w:spacing w:before="480" w:after="120"/>
        <w:outlineLvl w:val="1"/>
        <w:rPr>
          <w:rFonts w:cs="Arial"/>
          <w:b/>
          <w:bCs/>
          <w:sz w:val="40"/>
          <w:szCs w:val="24"/>
        </w:rPr>
      </w:pPr>
      <w:r w:rsidRPr="00DB1B2B">
        <w:rPr>
          <w:rFonts w:cs="Arial"/>
          <w:b/>
          <w:bCs/>
          <w:sz w:val="40"/>
          <w:szCs w:val="24"/>
        </w:rPr>
        <w:t>Appendix</w:t>
      </w:r>
    </w:p>
    <w:p w14:paraId="4DA22072" w14:textId="5357223F" w:rsidR="008B1332" w:rsidRDefault="008B1332" w:rsidP="008B1332">
      <w:pPr>
        <w:pStyle w:val="Heading3"/>
      </w:pPr>
      <w:r w:rsidRPr="00BD1CC1">
        <w:t xml:space="preserve">Appendix A: </w:t>
      </w:r>
      <w:r w:rsidR="0058445D" w:rsidRPr="0058445D">
        <w:t xml:space="preserve">Examples of Clinical Reasons to Avoid Pharmacologic Treatment with Methotrexate, Cyclosporine, Acitretin, or </w:t>
      </w:r>
      <w:r w:rsidR="00244FC8" w:rsidRPr="0058445D">
        <w:t>Leflunomide</w:t>
      </w:r>
      <w:r w:rsidR="00244FC8" w:rsidRPr="00244FC8">
        <w:rPr>
          <w:vertAlign w:val="superscript"/>
        </w:rPr>
        <w:t>4</w:t>
      </w:r>
      <w:r w:rsidR="004E77A9">
        <w:rPr>
          <w:vertAlign w:val="superscript"/>
        </w:rPr>
        <w:t>3</w:t>
      </w:r>
    </w:p>
    <w:p w14:paraId="1DC1D819" w14:textId="505389FD" w:rsidR="001B7A6C" w:rsidRDefault="0058445D" w:rsidP="000D5F54">
      <w:pPr>
        <w:pStyle w:val="ListParagraph"/>
        <w:numPr>
          <w:ilvl w:val="0"/>
          <w:numId w:val="59"/>
        </w:numPr>
      </w:pPr>
      <w:r>
        <w:t>Clinical diagnosis of alcohol use disorder, alcoholic liver disease, or other chronic liver disease</w:t>
      </w:r>
    </w:p>
    <w:p w14:paraId="308BF859" w14:textId="5C371248" w:rsidR="001B7A6C" w:rsidRDefault="0058445D" w:rsidP="000D5F54">
      <w:pPr>
        <w:pStyle w:val="ListParagraph"/>
        <w:numPr>
          <w:ilvl w:val="0"/>
          <w:numId w:val="59"/>
        </w:numPr>
      </w:pPr>
      <w:r>
        <w:t>Drug interaction</w:t>
      </w:r>
    </w:p>
    <w:p w14:paraId="04C329D4" w14:textId="2F68125B" w:rsidR="001B7A6C" w:rsidRDefault="0058445D" w:rsidP="000D5F54">
      <w:pPr>
        <w:pStyle w:val="ListParagraph"/>
        <w:numPr>
          <w:ilvl w:val="0"/>
          <w:numId w:val="59"/>
        </w:numPr>
      </w:pPr>
      <w:r>
        <w:t>Risk of treatment-related toxicity</w:t>
      </w:r>
    </w:p>
    <w:p w14:paraId="2DEE54FA" w14:textId="77777777" w:rsidR="0058445D" w:rsidRDefault="0058445D" w:rsidP="000D5F54">
      <w:pPr>
        <w:pStyle w:val="ListParagraph"/>
        <w:numPr>
          <w:ilvl w:val="0"/>
          <w:numId w:val="59"/>
        </w:numPr>
      </w:pPr>
      <w:r>
        <w:t>Pregnancy or currently planning pregnancy</w:t>
      </w:r>
    </w:p>
    <w:p w14:paraId="2B3ECED1" w14:textId="77777777" w:rsidR="0058445D" w:rsidRDefault="0058445D" w:rsidP="000D5F54">
      <w:pPr>
        <w:pStyle w:val="ListParagraph"/>
        <w:numPr>
          <w:ilvl w:val="0"/>
          <w:numId w:val="59"/>
        </w:numPr>
      </w:pPr>
      <w:r>
        <w:t>Breastfeeding</w:t>
      </w:r>
    </w:p>
    <w:p w14:paraId="2390F328" w14:textId="77777777" w:rsidR="0058445D" w:rsidRDefault="0058445D" w:rsidP="000D5F54">
      <w:pPr>
        <w:pStyle w:val="ListParagraph"/>
        <w:numPr>
          <w:ilvl w:val="0"/>
          <w:numId w:val="59"/>
        </w:numPr>
      </w:pPr>
      <w:r>
        <w:t>Significant comorbidity prohibits use of systemic agents (e.g., liver or kidney disease, blood dyscrasias, uncontrolled hypertension)</w:t>
      </w:r>
    </w:p>
    <w:p w14:paraId="0ACD0719" w14:textId="77777777" w:rsidR="0058445D" w:rsidRDefault="0058445D" w:rsidP="000D5F54">
      <w:pPr>
        <w:pStyle w:val="ListParagraph"/>
        <w:numPr>
          <w:ilvl w:val="0"/>
          <w:numId w:val="59"/>
        </w:numPr>
      </w:pPr>
      <w:r>
        <w:t>Hypersensitivity</w:t>
      </w:r>
    </w:p>
    <w:p w14:paraId="288E78A7" w14:textId="7695FB15" w:rsidR="0058445D" w:rsidRPr="0058445D" w:rsidRDefault="0058445D" w:rsidP="000D5F54">
      <w:pPr>
        <w:pStyle w:val="ListParagraph"/>
        <w:numPr>
          <w:ilvl w:val="0"/>
          <w:numId w:val="59"/>
        </w:numPr>
      </w:pPr>
      <w:r>
        <w:t>History of intolerance or adverse event</w:t>
      </w:r>
    </w:p>
    <w:p w14:paraId="581AE369" w14:textId="2F5D9B5E" w:rsidR="008B1332" w:rsidRDefault="008B1332" w:rsidP="008B1332">
      <w:pPr>
        <w:pStyle w:val="Heading3"/>
      </w:pPr>
      <w:r w:rsidRPr="00BD1CC1">
        <w:t xml:space="preserve">Appendix B: </w:t>
      </w:r>
      <w:r w:rsidR="0058445D" w:rsidRPr="0058445D">
        <w:t>Risk Factors for Articular Juvenile Idiopathic Arthritis</w:t>
      </w:r>
    </w:p>
    <w:p w14:paraId="1F0D98C7" w14:textId="77777777" w:rsidR="0058445D" w:rsidRDefault="0058445D" w:rsidP="000D5F54">
      <w:pPr>
        <w:pStyle w:val="ListParagraph"/>
        <w:numPr>
          <w:ilvl w:val="0"/>
          <w:numId w:val="57"/>
        </w:numPr>
      </w:pPr>
      <w:r>
        <w:t>Positive rheumatoid factor</w:t>
      </w:r>
    </w:p>
    <w:p w14:paraId="67AACF26" w14:textId="77777777" w:rsidR="0058445D" w:rsidRDefault="0058445D" w:rsidP="000D5F54">
      <w:pPr>
        <w:pStyle w:val="ListParagraph"/>
        <w:numPr>
          <w:ilvl w:val="0"/>
          <w:numId w:val="57"/>
        </w:numPr>
      </w:pPr>
      <w:r>
        <w:t>Positive anti-cyclic citrullinated peptide antibodies</w:t>
      </w:r>
    </w:p>
    <w:p w14:paraId="23501C82" w14:textId="1ED9E23D" w:rsidR="0058445D" w:rsidRPr="0058445D" w:rsidRDefault="0058445D" w:rsidP="000D5F54">
      <w:pPr>
        <w:pStyle w:val="ListParagraph"/>
        <w:numPr>
          <w:ilvl w:val="0"/>
          <w:numId w:val="57"/>
        </w:numPr>
      </w:pPr>
      <w:r>
        <w:t>Pre-existing joint damage</w:t>
      </w:r>
    </w:p>
    <w:p w14:paraId="59200849" w14:textId="147DEB02" w:rsidR="00DB1B2B" w:rsidRPr="008D1B34" w:rsidRDefault="00DB1B2B" w:rsidP="00DB1B2B">
      <w:pPr>
        <w:pStyle w:val="Heading2"/>
      </w:pPr>
      <w:r w:rsidRPr="008D1B34">
        <w:t>References</w:t>
      </w:r>
    </w:p>
    <w:p w14:paraId="7309B562" w14:textId="6E84E6D1" w:rsidR="0025345A" w:rsidRDefault="0025345A" w:rsidP="0025345A">
      <w:pPr>
        <w:pStyle w:val="ReferenceOrdered"/>
      </w:pPr>
      <w:r>
        <w:t xml:space="preserve">Humira [package insert]. North Chicago, IL: AbbVie Inc.; February </w:t>
      </w:r>
      <w:r w:rsidR="005B4117">
        <w:t>2024</w:t>
      </w:r>
      <w:r>
        <w:t>.</w:t>
      </w:r>
    </w:p>
    <w:p w14:paraId="56807380" w14:textId="53477B5B" w:rsidR="0025345A" w:rsidRDefault="0025345A" w:rsidP="0025345A">
      <w:pPr>
        <w:pStyle w:val="ReferenceOrdered"/>
      </w:pPr>
      <w:proofErr w:type="spellStart"/>
      <w:r>
        <w:t>Abrilada</w:t>
      </w:r>
      <w:proofErr w:type="spellEnd"/>
      <w:r>
        <w:t xml:space="preserve"> [package insert]. New York, NY: Pfizer Inc.; </w:t>
      </w:r>
      <w:r w:rsidR="005B4117">
        <w:t>April 2024</w:t>
      </w:r>
      <w:r>
        <w:t>.</w:t>
      </w:r>
    </w:p>
    <w:p w14:paraId="18DBDBEE" w14:textId="77777777" w:rsidR="0025345A" w:rsidRDefault="0025345A" w:rsidP="0025345A">
      <w:pPr>
        <w:pStyle w:val="ReferenceOrdered"/>
      </w:pPr>
      <w:r>
        <w:t>adalimumab [package insert]. North Chicago, IL: AbbVie Inc.; November 2023.</w:t>
      </w:r>
    </w:p>
    <w:p w14:paraId="52E92257" w14:textId="2F8B5BB0" w:rsidR="001B7A6C" w:rsidRDefault="0025345A" w:rsidP="0025345A">
      <w:pPr>
        <w:pStyle w:val="ReferenceOrdered"/>
      </w:pPr>
      <w:r>
        <w:lastRenderedPageBreak/>
        <w:t>adalimumab-</w:t>
      </w:r>
      <w:proofErr w:type="spellStart"/>
      <w:r>
        <w:t>aacf</w:t>
      </w:r>
      <w:proofErr w:type="spellEnd"/>
      <w:r>
        <w:t xml:space="preserve"> [package insert]. Lake Zurich, IL: Fresenius </w:t>
      </w:r>
      <w:proofErr w:type="spellStart"/>
      <w:r>
        <w:t>Kabi</w:t>
      </w:r>
      <w:proofErr w:type="spellEnd"/>
      <w:r>
        <w:t xml:space="preserve"> USA, LLC; </w:t>
      </w:r>
      <w:r w:rsidR="0051471D">
        <w:t>June 2024</w:t>
      </w:r>
      <w:r>
        <w:t>.</w:t>
      </w:r>
    </w:p>
    <w:p w14:paraId="659C10D0" w14:textId="61BA0FCA" w:rsidR="0025345A" w:rsidRDefault="0025345A" w:rsidP="0025345A">
      <w:pPr>
        <w:pStyle w:val="ReferenceOrdered"/>
      </w:pPr>
      <w:r>
        <w:t>adalimumab-</w:t>
      </w:r>
      <w:proofErr w:type="spellStart"/>
      <w:r>
        <w:t>aaty</w:t>
      </w:r>
      <w:proofErr w:type="spellEnd"/>
      <w:r>
        <w:t xml:space="preserve"> [package insert]. Jersey City, NJ: Celltrion USA, Inc.; </w:t>
      </w:r>
      <w:r w:rsidR="00363C40">
        <w:t>December</w:t>
      </w:r>
      <w:r>
        <w:t xml:space="preserve"> 2023.</w:t>
      </w:r>
    </w:p>
    <w:p w14:paraId="2F3DE25E" w14:textId="02434DF1" w:rsidR="0025345A" w:rsidRDefault="0025345A" w:rsidP="0025345A">
      <w:pPr>
        <w:pStyle w:val="ReferenceOrdered"/>
      </w:pPr>
      <w:r>
        <w:t>adalimumab-</w:t>
      </w:r>
      <w:proofErr w:type="spellStart"/>
      <w:r>
        <w:t>adaz</w:t>
      </w:r>
      <w:proofErr w:type="spellEnd"/>
      <w:r>
        <w:t xml:space="preserve"> [package insert]. Princeton, NJ: Sandoz Inc.; </w:t>
      </w:r>
      <w:r w:rsidR="00363C40">
        <w:t>June 2024</w:t>
      </w:r>
      <w:r>
        <w:t>.</w:t>
      </w:r>
    </w:p>
    <w:p w14:paraId="7421EBB7" w14:textId="7112EDF8" w:rsidR="0025345A" w:rsidRDefault="0025345A" w:rsidP="0025345A">
      <w:pPr>
        <w:pStyle w:val="ReferenceOrdered"/>
      </w:pPr>
      <w:r>
        <w:t>adalimumab-</w:t>
      </w:r>
      <w:proofErr w:type="spellStart"/>
      <w:r>
        <w:t>adbm</w:t>
      </w:r>
      <w:proofErr w:type="spellEnd"/>
      <w:r>
        <w:t xml:space="preserve"> [package insert]. Ridgefield, CT: Boehringer Ingelheim Pharmaceuticals, Inc.; </w:t>
      </w:r>
      <w:r w:rsidR="00217D53">
        <w:t>April 2024</w:t>
      </w:r>
      <w:r>
        <w:t>.</w:t>
      </w:r>
    </w:p>
    <w:p w14:paraId="1DB20A0E" w14:textId="62C78DC1" w:rsidR="009E10D1" w:rsidRDefault="009E10D1" w:rsidP="0025345A">
      <w:pPr>
        <w:pStyle w:val="ReferenceOrdered"/>
      </w:pPr>
      <w:r>
        <w:t>adalimumab-</w:t>
      </w:r>
      <w:proofErr w:type="spellStart"/>
      <w:r>
        <w:t>bwwd</w:t>
      </w:r>
      <w:proofErr w:type="spellEnd"/>
      <w:r>
        <w:t xml:space="preserve"> [package insert]. Incheon, Republic of Korea: </w:t>
      </w:r>
      <w:r w:rsidR="005866BE">
        <w:t xml:space="preserve">Samsung </w:t>
      </w:r>
      <w:proofErr w:type="spellStart"/>
      <w:r w:rsidR="005866BE">
        <w:t>Bioepis</w:t>
      </w:r>
      <w:proofErr w:type="spellEnd"/>
      <w:r w:rsidR="005866BE">
        <w:t xml:space="preserve"> Co., Ltd.; June 2025.</w:t>
      </w:r>
    </w:p>
    <w:p w14:paraId="545CB4D4" w14:textId="6E4DD19E" w:rsidR="0025345A" w:rsidRPr="00244FC8" w:rsidRDefault="0025345A" w:rsidP="0025345A">
      <w:pPr>
        <w:pStyle w:val="ReferenceOrdered"/>
      </w:pPr>
      <w:r w:rsidRPr="00244FC8">
        <w:t>adalimumab-</w:t>
      </w:r>
      <w:proofErr w:type="spellStart"/>
      <w:r w:rsidRPr="00244FC8">
        <w:t>fkjp</w:t>
      </w:r>
      <w:proofErr w:type="spellEnd"/>
      <w:r w:rsidRPr="00244FC8">
        <w:t xml:space="preserve"> [package insert]. </w:t>
      </w:r>
      <w:r w:rsidR="00CC1AA1" w:rsidRPr="00CC1AA1">
        <w:t>Cambridge, MA: Biocon Biologics Inc.; December</w:t>
      </w:r>
      <w:r w:rsidR="00CC1AA1">
        <w:t xml:space="preserve"> </w:t>
      </w:r>
      <w:r w:rsidR="00CC1AA1" w:rsidRPr="00CC1AA1">
        <w:t>2023</w:t>
      </w:r>
      <w:r w:rsidRPr="00244FC8">
        <w:t>.</w:t>
      </w:r>
    </w:p>
    <w:p w14:paraId="498408F4" w14:textId="41E65FAC" w:rsidR="00244FC8" w:rsidRPr="000D5F54" w:rsidRDefault="00244FC8" w:rsidP="002C538D">
      <w:pPr>
        <w:pStyle w:val="ReferenceOrdered"/>
      </w:pPr>
      <w:r w:rsidRPr="00244FC8">
        <w:t>adalimumab-</w:t>
      </w:r>
      <w:proofErr w:type="spellStart"/>
      <w:r w:rsidRPr="00244FC8">
        <w:t>ryvk</w:t>
      </w:r>
      <w:proofErr w:type="spellEnd"/>
      <w:r w:rsidRPr="00244FC8">
        <w:t xml:space="preserve"> [package insert]. Leesburg, VA: </w:t>
      </w:r>
      <w:proofErr w:type="spellStart"/>
      <w:r w:rsidRPr="00244FC8">
        <w:t>Alvotech</w:t>
      </w:r>
      <w:proofErr w:type="spellEnd"/>
      <w:r w:rsidRPr="00244FC8">
        <w:t xml:space="preserve"> USA Inc.; </w:t>
      </w:r>
      <w:r w:rsidR="00071B52">
        <w:t>July</w:t>
      </w:r>
      <w:r w:rsidRPr="00244FC8">
        <w:t xml:space="preserve"> 2024.</w:t>
      </w:r>
    </w:p>
    <w:p w14:paraId="039211D8" w14:textId="132D3CD9" w:rsidR="0025345A" w:rsidRPr="00244FC8" w:rsidRDefault="0025345A" w:rsidP="0025345A">
      <w:pPr>
        <w:pStyle w:val="ReferenceOrdered"/>
      </w:pPr>
      <w:proofErr w:type="spellStart"/>
      <w:r w:rsidRPr="00244FC8">
        <w:t>Amjevita</w:t>
      </w:r>
      <w:proofErr w:type="spellEnd"/>
      <w:r w:rsidRPr="00244FC8">
        <w:t xml:space="preserve"> [package insert]. Thousand Oaks, CA: Amgen Inc.; August 2023.</w:t>
      </w:r>
    </w:p>
    <w:p w14:paraId="15C3435E" w14:textId="04CF023B" w:rsidR="0025345A" w:rsidRDefault="0025345A" w:rsidP="0025345A">
      <w:pPr>
        <w:pStyle w:val="ReferenceOrdered"/>
      </w:pPr>
      <w:proofErr w:type="spellStart"/>
      <w:r>
        <w:t>Cyltezo</w:t>
      </w:r>
      <w:proofErr w:type="spellEnd"/>
      <w:r>
        <w:t xml:space="preserve"> [package insert]. Ridgefield, CT: Boehringer Ingelheim Pharmaceuticals, Inc.; </w:t>
      </w:r>
      <w:r w:rsidR="00D179D5">
        <w:t>April 2024</w:t>
      </w:r>
      <w:r>
        <w:t>.</w:t>
      </w:r>
    </w:p>
    <w:p w14:paraId="7EFC33F4" w14:textId="6260796F" w:rsidR="0025345A" w:rsidRDefault="0025345A" w:rsidP="0025345A">
      <w:pPr>
        <w:pStyle w:val="ReferenceOrdered"/>
      </w:pPr>
      <w:proofErr w:type="spellStart"/>
      <w:r>
        <w:t>Hadlima</w:t>
      </w:r>
      <w:proofErr w:type="spellEnd"/>
      <w:r>
        <w:t xml:space="preserve"> [package insert]. Jersey City, NJ: Organon &amp; Co.; June </w:t>
      </w:r>
      <w:r w:rsidR="0097154C">
        <w:t>2024</w:t>
      </w:r>
      <w:r>
        <w:t>.</w:t>
      </w:r>
    </w:p>
    <w:p w14:paraId="2C620A6F" w14:textId="3FF7A0A8" w:rsidR="0025345A" w:rsidRDefault="0025345A" w:rsidP="0025345A">
      <w:pPr>
        <w:pStyle w:val="ReferenceOrdered"/>
      </w:pPr>
      <w:proofErr w:type="spellStart"/>
      <w:r>
        <w:t>Hulio</w:t>
      </w:r>
      <w:proofErr w:type="spellEnd"/>
      <w:r>
        <w:t xml:space="preserve"> [package insert]. Morgantown, WV: Mylan Specialty L.P.; </w:t>
      </w:r>
      <w:r w:rsidR="00174742">
        <w:t>August</w:t>
      </w:r>
      <w:r>
        <w:t xml:space="preserve"> 2023.</w:t>
      </w:r>
    </w:p>
    <w:p w14:paraId="4837024A" w14:textId="3E4F45C9" w:rsidR="0025345A" w:rsidRDefault="0025345A" w:rsidP="0025345A">
      <w:pPr>
        <w:pStyle w:val="ReferenceOrdered"/>
      </w:pPr>
      <w:proofErr w:type="spellStart"/>
      <w:r>
        <w:t>Hyrimoz</w:t>
      </w:r>
      <w:proofErr w:type="spellEnd"/>
      <w:r>
        <w:t xml:space="preserve"> [package insert]. Princeton, NJ: Sandoz Inc.; April </w:t>
      </w:r>
      <w:r w:rsidR="00174742">
        <w:t>2024</w:t>
      </w:r>
      <w:r>
        <w:t>.</w:t>
      </w:r>
    </w:p>
    <w:p w14:paraId="015FB30B" w14:textId="7A839C80" w:rsidR="0025345A" w:rsidRDefault="0025345A" w:rsidP="0025345A">
      <w:pPr>
        <w:pStyle w:val="ReferenceOrdered"/>
      </w:pPr>
      <w:proofErr w:type="spellStart"/>
      <w:r>
        <w:t>Idacio</w:t>
      </w:r>
      <w:proofErr w:type="spellEnd"/>
      <w:r>
        <w:t xml:space="preserve"> [package insert]. Lake Zurich, IL: Fresenius </w:t>
      </w:r>
      <w:proofErr w:type="spellStart"/>
      <w:r>
        <w:t>Kabi</w:t>
      </w:r>
      <w:proofErr w:type="spellEnd"/>
      <w:r>
        <w:t xml:space="preserve"> USA, LLC; </w:t>
      </w:r>
      <w:r w:rsidR="00B814A1">
        <w:t>January 2024</w:t>
      </w:r>
      <w:r>
        <w:t>.</w:t>
      </w:r>
    </w:p>
    <w:p w14:paraId="4F645E86" w14:textId="0AA81609" w:rsidR="0025345A" w:rsidRDefault="0025345A" w:rsidP="0025345A">
      <w:pPr>
        <w:pStyle w:val="ReferenceOrdered"/>
      </w:pPr>
      <w:proofErr w:type="spellStart"/>
      <w:r>
        <w:t>Simlandi</w:t>
      </w:r>
      <w:proofErr w:type="spellEnd"/>
      <w:r>
        <w:t xml:space="preserve"> [package insert]. Leesburg, VA: </w:t>
      </w:r>
      <w:proofErr w:type="spellStart"/>
      <w:r>
        <w:t>Alvotech</w:t>
      </w:r>
      <w:proofErr w:type="spellEnd"/>
      <w:r>
        <w:t xml:space="preserve"> USA Inc.; </w:t>
      </w:r>
      <w:r w:rsidR="009801FC">
        <w:t>July</w:t>
      </w:r>
      <w:r>
        <w:t xml:space="preserve"> 2024.</w:t>
      </w:r>
    </w:p>
    <w:p w14:paraId="588B16FE" w14:textId="08513F3E" w:rsidR="0025345A" w:rsidRDefault="0025345A" w:rsidP="0025345A">
      <w:pPr>
        <w:pStyle w:val="ReferenceOrdered"/>
      </w:pPr>
      <w:proofErr w:type="spellStart"/>
      <w:r>
        <w:t>Yuflyma</w:t>
      </w:r>
      <w:proofErr w:type="spellEnd"/>
      <w:r>
        <w:t xml:space="preserve"> [package insert]. Jersey City, NJ: Celltrion USA, Inc.; </w:t>
      </w:r>
      <w:r w:rsidR="008D2314">
        <w:t>January 2024</w:t>
      </w:r>
      <w:r>
        <w:t>.</w:t>
      </w:r>
    </w:p>
    <w:p w14:paraId="6AFDEB2F" w14:textId="3B15C82E" w:rsidR="0025345A" w:rsidRDefault="0025345A" w:rsidP="0025345A">
      <w:pPr>
        <w:pStyle w:val="ReferenceOrdered"/>
      </w:pPr>
      <w:proofErr w:type="spellStart"/>
      <w:r>
        <w:t>Yusimry</w:t>
      </w:r>
      <w:proofErr w:type="spellEnd"/>
      <w:r>
        <w:t xml:space="preserve"> [package insert]. Redwood City, CA: </w:t>
      </w:r>
      <w:proofErr w:type="spellStart"/>
      <w:r>
        <w:t>Coherus</w:t>
      </w:r>
      <w:proofErr w:type="spellEnd"/>
      <w:r>
        <w:t xml:space="preserve"> </w:t>
      </w:r>
      <w:proofErr w:type="spellStart"/>
      <w:r>
        <w:t>BioSciences</w:t>
      </w:r>
      <w:proofErr w:type="spellEnd"/>
      <w:r>
        <w:t xml:space="preserve">, Inc.; </w:t>
      </w:r>
      <w:r w:rsidR="007D00B4">
        <w:t>September</w:t>
      </w:r>
      <w:r>
        <w:t xml:space="preserve"> 2023.</w:t>
      </w:r>
    </w:p>
    <w:p w14:paraId="33772A3D" w14:textId="77777777" w:rsidR="0025345A" w:rsidRDefault="0025345A" w:rsidP="0025345A">
      <w:pPr>
        <w:pStyle w:val="ReferenceOrdered"/>
      </w:pPr>
      <w:r>
        <w:t xml:space="preserve">van der </w:t>
      </w:r>
      <w:proofErr w:type="spellStart"/>
      <w:r>
        <w:t>Heijde</w:t>
      </w:r>
      <w:proofErr w:type="spellEnd"/>
      <w:r>
        <w:t xml:space="preserve"> D, Ramiro S, </w:t>
      </w:r>
      <w:proofErr w:type="spellStart"/>
      <w:r>
        <w:t>Landewe</w:t>
      </w:r>
      <w:proofErr w:type="spellEnd"/>
      <w:r>
        <w:t xml:space="preserve"> R, et al. 2016 Update of the international ASAS-EULAR management recommendations for axial spondyloarthritis. Ann Rheum Dis. 2017;0:1-14.</w:t>
      </w:r>
    </w:p>
    <w:p w14:paraId="7D9C2459" w14:textId="77777777" w:rsidR="0025345A" w:rsidRDefault="0025345A" w:rsidP="0025345A">
      <w:pPr>
        <w:pStyle w:val="ReferenceOrdered"/>
      </w:pPr>
      <w:proofErr w:type="spellStart"/>
      <w:r w:rsidRPr="00197787">
        <w:rPr>
          <w:lang w:val="es-ES"/>
        </w:rPr>
        <w:t>Sieper</w:t>
      </w:r>
      <w:proofErr w:type="spellEnd"/>
      <w:r w:rsidRPr="00197787">
        <w:rPr>
          <w:lang w:val="es-ES"/>
        </w:rPr>
        <w:t xml:space="preserve"> J, van </w:t>
      </w:r>
      <w:proofErr w:type="spellStart"/>
      <w:r w:rsidRPr="00197787">
        <w:rPr>
          <w:lang w:val="es-ES"/>
        </w:rPr>
        <w:t>der</w:t>
      </w:r>
      <w:proofErr w:type="spellEnd"/>
      <w:r w:rsidRPr="00197787">
        <w:rPr>
          <w:lang w:val="es-ES"/>
        </w:rPr>
        <w:t xml:space="preserve"> </w:t>
      </w:r>
      <w:proofErr w:type="spellStart"/>
      <w:r w:rsidRPr="00197787">
        <w:rPr>
          <w:lang w:val="es-ES"/>
        </w:rPr>
        <w:t>Heijde</w:t>
      </w:r>
      <w:proofErr w:type="spellEnd"/>
      <w:r w:rsidRPr="00197787">
        <w:rPr>
          <w:lang w:val="es-ES"/>
        </w:rPr>
        <w:t xml:space="preserve"> D, </w:t>
      </w:r>
      <w:proofErr w:type="spellStart"/>
      <w:r w:rsidRPr="00197787">
        <w:rPr>
          <w:lang w:val="es-ES"/>
        </w:rPr>
        <w:t>Dougados</w:t>
      </w:r>
      <w:proofErr w:type="spellEnd"/>
      <w:r w:rsidRPr="00197787">
        <w:rPr>
          <w:lang w:val="es-ES"/>
        </w:rPr>
        <w:t xml:space="preserve"> M, et al. </w:t>
      </w:r>
      <w:r>
        <w:t xml:space="preserve">Efficacy and safety of adalimumab in patients with non-radiographic axial spondyloarthritis: results of a </w:t>
      </w:r>
      <w:proofErr w:type="spellStart"/>
      <w:r>
        <w:t>randomised</w:t>
      </w:r>
      <w:proofErr w:type="spellEnd"/>
      <w:r>
        <w:t xml:space="preserve"> placebo-controlled trial (ABILITY-1). Ann Rheum Dis. 2013;72(6):815-22.</w:t>
      </w:r>
    </w:p>
    <w:p w14:paraId="6A2B6164" w14:textId="3FC88727" w:rsidR="0025345A" w:rsidRDefault="0025345A" w:rsidP="0025345A">
      <w:pPr>
        <w:pStyle w:val="ReferenceOrdered"/>
      </w:pPr>
      <w:r w:rsidRPr="00197787">
        <w:rPr>
          <w:lang w:val="sv-SE"/>
        </w:rPr>
        <w:t>Smolen JS, Landewé R</w:t>
      </w:r>
      <w:r w:rsidR="006850EF">
        <w:rPr>
          <w:lang w:val="sv-SE"/>
        </w:rPr>
        <w:t>BM</w:t>
      </w:r>
      <w:r w:rsidRPr="00197787">
        <w:rPr>
          <w:lang w:val="sv-SE"/>
        </w:rPr>
        <w:t>, B</w:t>
      </w:r>
      <w:r w:rsidR="006850EF">
        <w:rPr>
          <w:lang w:val="sv-SE"/>
        </w:rPr>
        <w:t>ergstra</w:t>
      </w:r>
      <w:r w:rsidRPr="00197787">
        <w:rPr>
          <w:lang w:val="sv-SE"/>
        </w:rPr>
        <w:t xml:space="preserve"> </w:t>
      </w:r>
      <w:r w:rsidR="006850EF">
        <w:rPr>
          <w:lang w:val="sv-SE"/>
        </w:rPr>
        <w:t>SA</w:t>
      </w:r>
      <w:r w:rsidRPr="00197787">
        <w:rPr>
          <w:lang w:val="sv-SE"/>
        </w:rPr>
        <w:t xml:space="preserve">, et al. </w:t>
      </w:r>
      <w:r>
        <w:t>EULAR recommendations for the management of rheumatoid arthritis with synthetic and biological disease-modifying antirheumatic drugs: 20</w:t>
      </w:r>
      <w:r w:rsidR="006850EF">
        <w:t>22</w:t>
      </w:r>
      <w:r>
        <w:t xml:space="preserve"> update. Ann Rheum Dis. 20</w:t>
      </w:r>
      <w:r w:rsidR="006850EF">
        <w:t>23</w:t>
      </w:r>
      <w:r>
        <w:t>;</w:t>
      </w:r>
      <w:r w:rsidR="006850EF">
        <w:t>82</w:t>
      </w:r>
      <w:r>
        <w:t>:</w:t>
      </w:r>
      <w:r w:rsidR="006850EF">
        <w:t>3</w:t>
      </w:r>
      <w:r>
        <w:t>-18.</w:t>
      </w:r>
    </w:p>
    <w:p w14:paraId="6BE71057" w14:textId="02CE0AF0" w:rsidR="001B7A6C" w:rsidRDefault="0025345A" w:rsidP="0025345A">
      <w:pPr>
        <w:pStyle w:val="ReferenceOrdered"/>
      </w:pPr>
      <w:r>
        <w:t xml:space="preserve">Singh JA, Saag KG, Bridges SL Jr, et al. 2015 American College of Rheumatology Guideline for the Treatment of Rheumatoid Arthritis. Arthritis </w:t>
      </w:r>
      <w:proofErr w:type="spellStart"/>
      <w:r>
        <w:t>Rheumatol</w:t>
      </w:r>
      <w:proofErr w:type="spellEnd"/>
      <w:r>
        <w:t>. 2016;68(1):1-26.</w:t>
      </w:r>
    </w:p>
    <w:p w14:paraId="1A6ACFD8" w14:textId="094A94FE" w:rsidR="001B7A6C" w:rsidRDefault="0025345A" w:rsidP="0025345A">
      <w:pPr>
        <w:pStyle w:val="ReferenceOrdered"/>
      </w:pPr>
      <w:r w:rsidRPr="00197787">
        <w:rPr>
          <w:lang w:val="sv-SE"/>
        </w:rPr>
        <w:t xml:space="preserve">Saag KG, Teng GG, Patkar NM, et al. </w:t>
      </w:r>
      <w:r>
        <w:t>American College of Rheumatology 2008 recommendations for the use of nonbiologic and biologic disease-modifying antirheumatic drugs in rheumatoid arthritis. Arthritis Rheum. 2008;59(6):762-784.</w:t>
      </w:r>
    </w:p>
    <w:p w14:paraId="0EB45D39" w14:textId="37492729" w:rsidR="001B7A6C" w:rsidRDefault="0025345A" w:rsidP="0025345A">
      <w:pPr>
        <w:pStyle w:val="ReferenceOrdered"/>
      </w:pPr>
      <w:proofErr w:type="spellStart"/>
      <w:r>
        <w:t>Ringold</w:t>
      </w:r>
      <w:proofErr w:type="spellEnd"/>
      <w:r>
        <w:t xml:space="preserve"> S, Angeles-Han ST, </w:t>
      </w:r>
      <w:proofErr w:type="spellStart"/>
      <w:r>
        <w:t>Beukelman</w:t>
      </w:r>
      <w:proofErr w:type="spellEnd"/>
      <w:r>
        <w:t xml:space="preserve"> T, et al. 2019 American College of Rheumatology/Arthritis Foundation Guideline for the Treatment of Juvenile Idiopathic Arthritis: Therapeutic Approaches for Non-Systemic Polyarthritis, Sacroiliitis, and Enthesitis. Arthritis Care Res. 2019;71(6):717-734.</w:t>
      </w:r>
    </w:p>
    <w:p w14:paraId="0DE914BC" w14:textId="0C7030DB" w:rsidR="0025345A" w:rsidRDefault="0025345A" w:rsidP="0025345A">
      <w:pPr>
        <w:pStyle w:val="ReferenceOrdered"/>
      </w:pPr>
      <w:proofErr w:type="spellStart"/>
      <w:r>
        <w:t>Gossec</w:t>
      </w:r>
      <w:proofErr w:type="spellEnd"/>
      <w:r>
        <w:t xml:space="preserve"> L, </w:t>
      </w:r>
      <w:proofErr w:type="spellStart"/>
      <w:r>
        <w:t>Baraliakos</w:t>
      </w:r>
      <w:proofErr w:type="spellEnd"/>
      <w:r>
        <w:t xml:space="preserve"> X, </w:t>
      </w:r>
      <w:proofErr w:type="spellStart"/>
      <w:r>
        <w:t>Kerschbaumer</w:t>
      </w:r>
      <w:proofErr w:type="spellEnd"/>
      <w:r>
        <w:t xml:space="preserve"> A, et al. European League Against Rheumatism (EULAR) recommendations for the management of psoriatic arthritis with pharmacological therapies; 2019 update. Ann Rheum Dis. 2020;79(6):700-712.</w:t>
      </w:r>
    </w:p>
    <w:p w14:paraId="38691FAF" w14:textId="13E0F13D" w:rsidR="001B7A6C" w:rsidRDefault="0025345A" w:rsidP="0025345A">
      <w:pPr>
        <w:pStyle w:val="ReferenceOrdered"/>
      </w:pPr>
      <w:r>
        <w:t xml:space="preserve">Gladman DD, Antoni C, </w:t>
      </w:r>
      <w:proofErr w:type="spellStart"/>
      <w:r>
        <w:t>Mease</w:t>
      </w:r>
      <w:proofErr w:type="spellEnd"/>
      <w:r>
        <w:t xml:space="preserve"> P, et al. Psoriatic arthritis: epidemiology, clinical features, course, and outcome. Ann Rheum Dis 2005;64(Suppl II):ii14–ii17.</w:t>
      </w:r>
    </w:p>
    <w:p w14:paraId="76552F6D" w14:textId="77777777" w:rsidR="0025345A" w:rsidRDefault="0025345A" w:rsidP="0025345A">
      <w:pPr>
        <w:pStyle w:val="ReferenceOrdered"/>
      </w:pPr>
      <w:r>
        <w:t xml:space="preserve">Coates LC, Soriano ER, Corp N, et al. Group for Research and Assessment of Psoriasis and Psoriatic Arthritis (GRAPPA): updated treatment recommendations for psoriatic arthritis 2021. Nat Rev </w:t>
      </w:r>
      <w:proofErr w:type="spellStart"/>
      <w:r>
        <w:t>Rheumatol</w:t>
      </w:r>
      <w:proofErr w:type="spellEnd"/>
      <w:r>
        <w:t>. 2022;18(8):465-479.</w:t>
      </w:r>
    </w:p>
    <w:p w14:paraId="33F15D75" w14:textId="34A0EA74" w:rsidR="001B7A6C" w:rsidRDefault="0025345A" w:rsidP="0025345A">
      <w:pPr>
        <w:pStyle w:val="ReferenceOrdered"/>
      </w:pPr>
      <w:proofErr w:type="spellStart"/>
      <w:r>
        <w:lastRenderedPageBreak/>
        <w:t>Menter</w:t>
      </w:r>
      <w:proofErr w:type="spellEnd"/>
      <w:r>
        <w:t xml:space="preserve"> A, </w:t>
      </w:r>
      <w:proofErr w:type="spellStart"/>
      <w:r>
        <w:t>Korman</w:t>
      </w:r>
      <w:proofErr w:type="spellEnd"/>
      <w:r>
        <w:t xml:space="preserve"> NJ, </w:t>
      </w:r>
      <w:proofErr w:type="spellStart"/>
      <w:r>
        <w:t>Elmets</w:t>
      </w:r>
      <w:proofErr w:type="spellEnd"/>
      <w:r>
        <w:t xml:space="preserve"> CA, et al. Guidelines of care for the management of psoriasis and psoriatic arthritis. Section 6: Guidelines of care for the treatment of psoriasis and psoriatic arthritis: case-based presentations and evidence-based conclusions. J Am </w:t>
      </w:r>
      <w:proofErr w:type="spellStart"/>
      <w:r>
        <w:t>Acad</w:t>
      </w:r>
      <w:proofErr w:type="spellEnd"/>
      <w:r>
        <w:t xml:space="preserve"> Dermatol. 2011;65(1):137-174.</w:t>
      </w:r>
    </w:p>
    <w:p w14:paraId="2B4026A8" w14:textId="77777777" w:rsidR="0025345A" w:rsidRDefault="0025345A" w:rsidP="0025345A">
      <w:pPr>
        <w:pStyle w:val="ReferenceOrdered"/>
      </w:pPr>
      <w:r>
        <w:t xml:space="preserve">Braun J, van den Berg R, </w:t>
      </w:r>
      <w:proofErr w:type="spellStart"/>
      <w:r>
        <w:t>Baraliakos</w:t>
      </w:r>
      <w:proofErr w:type="spellEnd"/>
      <w:r>
        <w:t xml:space="preserve"> X, et al. 2010 update of the ASAS/EULAR recommendations for the management of ankylosing spondylitis. Ann Rheum Dis 2011;70:896–904.</w:t>
      </w:r>
    </w:p>
    <w:p w14:paraId="4D9B2606" w14:textId="62CFD5A1" w:rsidR="001B7A6C" w:rsidRDefault="0025345A" w:rsidP="0025345A">
      <w:pPr>
        <w:pStyle w:val="ReferenceOrdered"/>
      </w:pPr>
      <w:r>
        <w:t xml:space="preserve">Ward MM, </w:t>
      </w:r>
      <w:proofErr w:type="spellStart"/>
      <w:r>
        <w:t>Deodhar</w:t>
      </w:r>
      <w:proofErr w:type="spellEnd"/>
      <w:r>
        <w:t xml:space="preserve"> A, Gensler LS, et al. 2019 Update of the American College of Rheumatology/Spondylitis Association of America/Spondyloarthritis Research and Treatment Network Recommendations for the Treatment of Ankylosing Spondylitis and </w:t>
      </w:r>
      <w:proofErr w:type="spellStart"/>
      <w:r>
        <w:t>Nonradiographic</w:t>
      </w:r>
      <w:proofErr w:type="spellEnd"/>
      <w:r>
        <w:t xml:space="preserve"> Axial </w:t>
      </w:r>
      <w:proofErr w:type="spellStart"/>
      <w:r>
        <w:t>Spondyloarthritis</w:t>
      </w:r>
      <w:proofErr w:type="spellEnd"/>
      <w:r>
        <w:t xml:space="preserve">. Arthritis </w:t>
      </w:r>
      <w:proofErr w:type="spellStart"/>
      <w:r>
        <w:t>Rheumatol</w:t>
      </w:r>
      <w:proofErr w:type="spellEnd"/>
      <w:r>
        <w:t>. 2019;71(10):1599-1613.</w:t>
      </w:r>
    </w:p>
    <w:p w14:paraId="540E89D2" w14:textId="1BA925F1" w:rsidR="001B7A6C" w:rsidRDefault="0025345A" w:rsidP="0025345A">
      <w:pPr>
        <w:pStyle w:val="ReferenceOrdered"/>
      </w:pPr>
      <w:r>
        <w:t xml:space="preserve">Talley NJ, Abreu MT, </w:t>
      </w:r>
      <w:proofErr w:type="spellStart"/>
      <w:r>
        <w:t>Achkar</w:t>
      </w:r>
      <w:proofErr w:type="spellEnd"/>
      <w:r>
        <w:t xml:space="preserve"> J, et al. An evidence-based systematic review on medical therapies for inflammatory bowel disease. Am J Gastroenterol. 2011;106(Suppl 1):S2-S25.</w:t>
      </w:r>
    </w:p>
    <w:p w14:paraId="6254BCF6" w14:textId="77777777" w:rsidR="0025345A" w:rsidRDefault="0025345A" w:rsidP="0025345A">
      <w:pPr>
        <w:pStyle w:val="ReferenceOrdered"/>
      </w:pPr>
      <w:r>
        <w:t>Lichtenstein GR, Loftus Jr EV, Isaacs KI, et al. ACG Clinical Guideline: Management of Crohn’s Disease in Adults. Am J Gastroenterol. 2018;113:481-517.</w:t>
      </w:r>
    </w:p>
    <w:p w14:paraId="25F50F87" w14:textId="77777777" w:rsidR="0025345A" w:rsidRDefault="0025345A" w:rsidP="0025345A">
      <w:pPr>
        <w:pStyle w:val="ReferenceOrdered"/>
      </w:pPr>
      <w:r>
        <w:t xml:space="preserve">Agarwal A, Andrews JM. Systematic review: IBD-associated pyoderma gangrenosum in the biologic era, the response to therapy. Aliment </w:t>
      </w:r>
      <w:proofErr w:type="spellStart"/>
      <w:r>
        <w:t>Pharmacol</w:t>
      </w:r>
      <w:proofErr w:type="spellEnd"/>
      <w:r>
        <w:t xml:space="preserve"> </w:t>
      </w:r>
      <w:proofErr w:type="spellStart"/>
      <w:r>
        <w:t>Ther</w:t>
      </w:r>
      <w:proofErr w:type="spellEnd"/>
      <w:r>
        <w:t>. 2013;38(6):563-572.</w:t>
      </w:r>
    </w:p>
    <w:p w14:paraId="45617E37" w14:textId="77777777" w:rsidR="0025345A" w:rsidRDefault="0025345A" w:rsidP="0025345A">
      <w:pPr>
        <w:pStyle w:val="ReferenceOrdered"/>
      </w:pPr>
      <w:r w:rsidRPr="00197787">
        <w:rPr>
          <w:lang w:val="es-ES"/>
        </w:rPr>
        <w:t>Arguelles-Arias F, Castro-</w:t>
      </w:r>
      <w:proofErr w:type="spellStart"/>
      <w:r w:rsidRPr="00197787">
        <w:rPr>
          <w:lang w:val="es-ES"/>
        </w:rPr>
        <w:t>Laria</w:t>
      </w:r>
      <w:proofErr w:type="spellEnd"/>
      <w:r w:rsidRPr="00197787">
        <w:rPr>
          <w:lang w:val="es-ES"/>
        </w:rPr>
        <w:t xml:space="preserve"> L, </w:t>
      </w:r>
      <w:proofErr w:type="spellStart"/>
      <w:r w:rsidRPr="00197787">
        <w:rPr>
          <w:lang w:val="es-ES"/>
        </w:rPr>
        <w:t>Lobaton</w:t>
      </w:r>
      <w:proofErr w:type="spellEnd"/>
      <w:r w:rsidRPr="00197787">
        <w:rPr>
          <w:lang w:val="es-ES"/>
        </w:rPr>
        <w:t xml:space="preserve"> T, et al. </w:t>
      </w:r>
      <w:r>
        <w:t>Characteristics and treatment of pyoderma gangrenosum in inflammatory bowel disease. Dig Dis Sci. 2013;58(10):2949-2954.</w:t>
      </w:r>
    </w:p>
    <w:p w14:paraId="4833EB75" w14:textId="77777777" w:rsidR="0025345A" w:rsidRDefault="0025345A" w:rsidP="0025345A">
      <w:pPr>
        <w:pStyle w:val="ReferenceOrdered"/>
      </w:pPr>
      <w:r>
        <w:t xml:space="preserve">Marzano AV, Ishak RS, </w:t>
      </w:r>
      <w:proofErr w:type="spellStart"/>
      <w:r>
        <w:t>Saibeni</w:t>
      </w:r>
      <w:proofErr w:type="spellEnd"/>
      <w:r>
        <w:t xml:space="preserve"> S, et al. Autoinflammatory skin disorders in inflammatory bowel diseases, pyoderma gangrenosum and Sweet's syndrome: A comprehensive review and disease classification criteria. Clin Rev Allergy Immunol. 2013;45(2):202-210.</w:t>
      </w:r>
    </w:p>
    <w:p w14:paraId="0ADCBB6D" w14:textId="77777777" w:rsidR="0025345A" w:rsidRDefault="0025345A" w:rsidP="0025345A">
      <w:pPr>
        <w:pStyle w:val="ReferenceOrdered"/>
      </w:pPr>
      <w:r>
        <w:t xml:space="preserve">Hatemi G, Christensen R, </w:t>
      </w:r>
      <w:proofErr w:type="spellStart"/>
      <w:r>
        <w:t>Bodaghi</w:t>
      </w:r>
      <w:proofErr w:type="spellEnd"/>
      <w:r>
        <w:t>, et al. 2018 update of the EULAR recommendations for the management of Behcet’s syndrome. Ann Rheum Dis. 2018.; 77: 808-818.</w:t>
      </w:r>
    </w:p>
    <w:p w14:paraId="4CCA2EBB" w14:textId="287C7275" w:rsidR="001B7A6C" w:rsidRDefault="0025345A" w:rsidP="0025345A">
      <w:pPr>
        <w:pStyle w:val="ReferenceOrdered"/>
      </w:pPr>
      <w:proofErr w:type="spellStart"/>
      <w:r>
        <w:t>Menter</w:t>
      </w:r>
      <w:proofErr w:type="spellEnd"/>
      <w:r>
        <w:t xml:space="preserve"> A, Strober BE, Kaplan DH, et al. Joint AAD-NPF guidelines of care for the management and treatment of psoriasis with biologics. J Am </w:t>
      </w:r>
      <w:proofErr w:type="spellStart"/>
      <w:r>
        <w:t>Acad</w:t>
      </w:r>
      <w:proofErr w:type="spellEnd"/>
      <w:r>
        <w:t xml:space="preserve"> Dermatol. 2019;80(4):1029-1072.</w:t>
      </w:r>
    </w:p>
    <w:p w14:paraId="48D3A59B" w14:textId="3C3700F8" w:rsidR="0025345A" w:rsidRDefault="0025345A" w:rsidP="0025345A">
      <w:pPr>
        <w:pStyle w:val="ReferenceOrdered"/>
      </w:pPr>
      <w:r>
        <w:t xml:space="preserve">Testing for TB Infection. Centers for Disease Control and Prevention. Retrieved on </w:t>
      </w:r>
      <w:r w:rsidR="00850685">
        <w:t>August 5</w:t>
      </w:r>
      <w:r>
        <w:t>, 202</w:t>
      </w:r>
      <w:r w:rsidR="00850685">
        <w:t>4</w:t>
      </w:r>
      <w:r>
        <w:t xml:space="preserve"> from: </w:t>
      </w:r>
      <w:r w:rsidR="007B569A" w:rsidRPr="007B569A">
        <w:t>https://www.cdc.gov/tb/testing/index.html</w:t>
      </w:r>
      <w:r>
        <w:t>.</w:t>
      </w:r>
    </w:p>
    <w:p w14:paraId="036F95ED" w14:textId="5CBDC4A7" w:rsidR="001B7A6C" w:rsidRDefault="0025345A" w:rsidP="0025345A">
      <w:pPr>
        <w:pStyle w:val="ReferenceOrdered"/>
      </w:pPr>
      <w:r>
        <w:t xml:space="preserve">Singh JA, Guyatt G, </w:t>
      </w:r>
      <w:proofErr w:type="spellStart"/>
      <w:r>
        <w:t>Ogdie</w:t>
      </w:r>
      <w:proofErr w:type="spellEnd"/>
      <w:r>
        <w:t xml:space="preserve"> A, et al. 2018 American College of Rheumatology/National Psoriasis Foundation Guideline for the Treatment of Psoriatic Arthritis. Arthritis </w:t>
      </w:r>
      <w:proofErr w:type="spellStart"/>
      <w:r>
        <w:t>Rheumatol</w:t>
      </w:r>
      <w:proofErr w:type="spellEnd"/>
      <w:r>
        <w:t>. 2019;71(1):5-32.</w:t>
      </w:r>
    </w:p>
    <w:p w14:paraId="2FCA1DA3" w14:textId="776379BD" w:rsidR="0025345A" w:rsidRDefault="0025345A" w:rsidP="0025345A">
      <w:pPr>
        <w:pStyle w:val="ReferenceOrdered"/>
      </w:pPr>
      <w:r>
        <w:t>Feuerstein JD, Isaacs KL, Schneider Y, et al. AGA Clinical Practice Guidelines on the Management of Moderate to Severe Ulcerative Colitis. Gastroenterology. 2020; 158:1450.</w:t>
      </w:r>
    </w:p>
    <w:p w14:paraId="77DFD4D9" w14:textId="77777777" w:rsidR="0025345A" w:rsidRDefault="0025345A" w:rsidP="0025345A">
      <w:pPr>
        <w:pStyle w:val="ReferenceOrdered"/>
      </w:pPr>
      <w:proofErr w:type="spellStart"/>
      <w:r>
        <w:t>Menter</w:t>
      </w:r>
      <w:proofErr w:type="spellEnd"/>
      <w:r>
        <w:t xml:space="preserve">, A, Cordero, KM, Davis, DM, et al. Joint AAD-NPF guidelines of care for the management and treatment of psoriasis in pediatric patients. J Am </w:t>
      </w:r>
      <w:proofErr w:type="spellStart"/>
      <w:r>
        <w:t>Acad</w:t>
      </w:r>
      <w:proofErr w:type="spellEnd"/>
      <w:r>
        <w:t xml:space="preserve"> Dermatol. 2020;82(1):161-201.</w:t>
      </w:r>
    </w:p>
    <w:p w14:paraId="60F5727B" w14:textId="77777777" w:rsidR="0025345A" w:rsidRDefault="0025345A" w:rsidP="0025345A">
      <w:pPr>
        <w:pStyle w:val="ReferenceOrdered"/>
      </w:pPr>
      <w:proofErr w:type="spellStart"/>
      <w:r>
        <w:t>Menter</w:t>
      </w:r>
      <w:proofErr w:type="spellEnd"/>
      <w:r>
        <w:t xml:space="preserve"> A, Gelfand JM, Connor C, et al. Joint AAD-NPF guidelines of care for the management of psoriasis with systemic nonbiologic therapies. J Am </w:t>
      </w:r>
      <w:proofErr w:type="spellStart"/>
      <w:r>
        <w:t>Acad</w:t>
      </w:r>
      <w:proofErr w:type="spellEnd"/>
      <w:r>
        <w:t xml:space="preserve"> Dermatol. 2020;82(6):1445-86.</w:t>
      </w:r>
    </w:p>
    <w:p w14:paraId="4335B705" w14:textId="5A7F5E92" w:rsidR="0025345A" w:rsidRDefault="0025345A" w:rsidP="0025345A">
      <w:pPr>
        <w:pStyle w:val="ReferenceOrdered"/>
      </w:pPr>
      <w:r>
        <w:t xml:space="preserve">Micromedex® (electronic version). IBM Watson Health, Greenwood Village, Colorado, USA. Available at: https://www.micromedexsolutions.com. Accessed August </w:t>
      </w:r>
      <w:r w:rsidR="00FB3411">
        <w:t>6</w:t>
      </w:r>
      <w:r>
        <w:t>, 202</w:t>
      </w:r>
      <w:r w:rsidR="00FB3411">
        <w:t>4</w:t>
      </w:r>
      <w:r>
        <w:t>.</w:t>
      </w:r>
    </w:p>
    <w:p w14:paraId="7EBB0897" w14:textId="77777777" w:rsidR="0025345A" w:rsidRDefault="0025345A" w:rsidP="0025345A">
      <w:pPr>
        <w:pStyle w:val="ReferenceOrdered"/>
      </w:pPr>
      <w:r>
        <w:t xml:space="preserve">George C, </w:t>
      </w:r>
      <w:proofErr w:type="spellStart"/>
      <w:r>
        <w:t>Deroide</w:t>
      </w:r>
      <w:proofErr w:type="spellEnd"/>
      <w:r>
        <w:t xml:space="preserve"> F, Rustin M. Pyoderma gangrenosum – a guide to diagnosis and management. Clin Med. 2019;19(3): 224-8.</w:t>
      </w:r>
    </w:p>
    <w:p w14:paraId="68457786" w14:textId="77777777" w:rsidR="0025345A" w:rsidRDefault="0025345A" w:rsidP="0025345A">
      <w:pPr>
        <w:pStyle w:val="ReferenceOrdered"/>
      </w:pPr>
      <w:r>
        <w:t xml:space="preserve">Jaffe G, Dick A, </w:t>
      </w:r>
      <w:proofErr w:type="spellStart"/>
      <w:r>
        <w:t>Brezin</w:t>
      </w:r>
      <w:proofErr w:type="spellEnd"/>
      <w:r>
        <w:t xml:space="preserve"> A, et al. Adalimumab in Patients with Active Noninfectious Uveitis. N Engl J Med. 2016; 375: 932-943.</w:t>
      </w:r>
    </w:p>
    <w:p w14:paraId="4C073475" w14:textId="77777777" w:rsidR="0025345A" w:rsidRDefault="0025345A" w:rsidP="0025345A">
      <w:pPr>
        <w:pStyle w:val="ReferenceOrdered"/>
      </w:pPr>
      <w:r w:rsidRPr="00197787">
        <w:rPr>
          <w:lang w:val="sv-SE"/>
        </w:rPr>
        <w:t xml:space="preserve">Nguyen QD, Merrill P, Jaffe G, et al. </w:t>
      </w:r>
      <w:r>
        <w:t xml:space="preserve">Adalimumab for prevention of </w:t>
      </w:r>
      <w:proofErr w:type="spellStart"/>
      <w:r>
        <w:t>uveitic</w:t>
      </w:r>
      <w:proofErr w:type="spellEnd"/>
      <w:r>
        <w:t xml:space="preserve"> flare in patients with inactive non-infectious uveitis controlled by corticosteroids (VISUAL II): a </w:t>
      </w:r>
      <w:proofErr w:type="spellStart"/>
      <w:r>
        <w:t>multicentre</w:t>
      </w:r>
      <w:proofErr w:type="spellEnd"/>
      <w:r>
        <w:t>, double-masked, randomized, placebo-controlled phase 3 trial. Lancet. 2016; 388(10050):1183-92.</w:t>
      </w:r>
    </w:p>
    <w:p w14:paraId="4B74521B" w14:textId="77777777" w:rsidR="0025345A" w:rsidRDefault="0025345A" w:rsidP="0025345A">
      <w:pPr>
        <w:pStyle w:val="ReferenceOrdered"/>
      </w:pPr>
      <w:proofErr w:type="spellStart"/>
      <w:r>
        <w:lastRenderedPageBreak/>
        <w:t>Aletaha</w:t>
      </w:r>
      <w:proofErr w:type="spellEnd"/>
      <w:r>
        <w:t xml:space="preserve"> D, </w:t>
      </w:r>
      <w:proofErr w:type="spellStart"/>
      <w:r>
        <w:t>Neogi</w:t>
      </w:r>
      <w:proofErr w:type="spellEnd"/>
      <w:r>
        <w:t xml:space="preserve"> T, </w:t>
      </w:r>
      <w:proofErr w:type="spellStart"/>
      <w:r>
        <w:t>Silman</w:t>
      </w:r>
      <w:proofErr w:type="spellEnd"/>
      <w:r>
        <w:t xml:space="preserve"> AJ, et al. 2010 Rheumatoid arthritis classification criteria: an American College of Rheumatology/European League Against Rheumatism collaborative initiative. Arthritis Rheum. 2010;62(9):2569-81.</w:t>
      </w:r>
    </w:p>
    <w:p w14:paraId="487EBB56" w14:textId="77777777" w:rsidR="0025345A" w:rsidRDefault="0025345A" w:rsidP="0025345A">
      <w:pPr>
        <w:pStyle w:val="ReferenceOrdered"/>
      </w:pPr>
      <w:r>
        <w:t xml:space="preserve">Rubin DT, </w:t>
      </w:r>
      <w:proofErr w:type="spellStart"/>
      <w:r>
        <w:t>Ananthakrishnan</w:t>
      </w:r>
      <w:proofErr w:type="spellEnd"/>
      <w:r>
        <w:t xml:space="preserve"> AN, et al. 2019 ACG Clinical Guideline: Ulcerative Colitis in Adults. Am J Gastroenterol. 2019;114:384-413.</w:t>
      </w:r>
    </w:p>
    <w:p w14:paraId="40E5B0CD" w14:textId="77777777" w:rsidR="0025345A" w:rsidRDefault="0025345A" w:rsidP="0025345A">
      <w:pPr>
        <w:pStyle w:val="ReferenceOrdered"/>
      </w:pPr>
      <w:r>
        <w:t xml:space="preserve">Alikhan A, Sayed C, </w:t>
      </w:r>
      <w:proofErr w:type="spellStart"/>
      <w:r>
        <w:t>Alavi</w:t>
      </w:r>
      <w:proofErr w:type="spellEnd"/>
      <w:r>
        <w:t xml:space="preserve"> A, et al. North American clinical management guidelines for hidradenitis suppurativa: A publication from the United States and Canadian Hidradenitis Suppurativa Foundations Part I: Diagnosis, evaluation, and the use of complementary and procedural management. J Am </w:t>
      </w:r>
      <w:proofErr w:type="spellStart"/>
      <w:r>
        <w:t>Acad</w:t>
      </w:r>
      <w:proofErr w:type="spellEnd"/>
      <w:r>
        <w:t xml:space="preserve"> Dermatol. 2019; 81(1): 76-90.</w:t>
      </w:r>
    </w:p>
    <w:p w14:paraId="46BC8B27" w14:textId="77777777" w:rsidR="0025345A" w:rsidRDefault="0025345A" w:rsidP="0025345A">
      <w:pPr>
        <w:pStyle w:val="ReferenceOrdered"/>
      </w:pPr>
      <w:r>
        <w:t xml:space="preserve">Alikhan A, Sayed C, </w:t>
      </w:r>
      <w:proofErr w:type="spellStart"/>
      <w:r>
        <w:t>Alavi</w:t>
      </w:r>
      <w:proofErr w:type="spellEnd"/>
      <w:r>
        <w:t xml:space="preserve"> A, et al. North American clinical management guidelines for hidradenitis suppurativa: A publication from the United States and Canadian Hidradenitis Suppurativa Foundations Part II: Topical, intralesional, and systemic medical management. J Am </w:t>
      </w:r>
      <w:proofErr w:type="spellStart"/>
      <w:r>
        <w:t>Acad</w:t>
      </w:r>
      <w:proofErr w:type="spellEnd"/>
      <w:r>
        <w:t xml:space="preserve"> Dermatol. 2019; 81(1): 91-101.</w:t>
      </w:r>
    </w:p>
    <w:p w14:paraId="2A30BCC9" w14:textId="77777777" w:rsidR="0025345A" w:rsidRDefault="0025345A" w:rsidP="0025345A">
      <w:pPr>
        <w:pStyle w:val="ReferenceOrdered"/>
      </w:pPr>
      <w:r>
        <w:t xml:space="preserve">Smolen JS, </w:t>
      </w:r>
      <w:proofErr w:type="spellStart"/>
      <w:r>
        <w:t>Aletaha</w:t>
      </w:r>
      <w:proofErr w:type="spellEnd"/>
      <w:r>
        <w:t xml:space="preserve"> D. Assessment of rheumatoid arthritis disease activity and physical function. In: UpToDate, Post TW (Ed), UpToDate, Waltham, MA. Available with subscription. URL: www.uptodate.com. Accessed November 29, 2023.</w:t>
      </w:r>
    </w:p>
    <w:p w14:paraId="2AC73F17" w14:textId="4DA2450A" w:rsidR="0025345A" w:rsidRDefault="0025345A" w:rsidP="0025345A">
      <w:pPr>
        <w:pStyle w:val="ReferenceOrdered"/>
      </w:pPr>
      <w:r>
        <w:t>The NCCN Drugs &amp; Biologics Compendium 202</w:t>
      </w:r>
      <w:r w:rsidR="005216D2">
        <w:t>4</w:t>
      </w:r>
      <w:r>
        <w:t xml:space="preserve"> National Comprehensive Cancer Network, Inc. Available at: http://www.nccn.org. Accessed August 20, 202</w:t>
      </w:r>
      <w:r w:rsidR="005216D2">
        <w:t>4</w:t>
      </w:r>
      <w:r>
        <w:t>.</w:t>
      </w:r>
    </w:p>
    <w:p w14:paraId="6AD75E57" w14:textId="11D56F44" w:rsidR="001B7A6C" w:rsidRDefault="0025345A" w:rsidP="0025345A">
      <w:pPr>
        <w:pStyle w:val="ReferenceOrdered"/>
      </w:pPr>
      <w:r w:rsidRPr="00197787">
        <w:rPr>
          <w:lang w:val="pt-BR"/>
        </w:rPr>
        <w:t xml:space="preserve">Feuerstein J, Ho E, Shmidt E, et al. </w:t>
      </w:r>
      <w:r>
        <w:t>AGA Clinical Practice Guidelines on the Medical Management of Moderate to Severe Luminal and Perianal Fistulizing Crohn’s Disease. Gastroenterology. 2021; 160:2496-2508.</w:t>
      </w:r>
    </w:p>
    <w:p w14:paraId="0B163008" w14:textId="77777777" w:rsidR="0025345A" w:rsidRDefault="0025345A" w:rsidP="0025345A">
      <w:pPr>
        <w:pStyle w:val="ReferenceOrdered"/>
      </w:pPr>
      <w:r>
        <w:t xml:space="preserve">Fraenkel L, </w:t>
      </w:r>
      <w:proofErr w:type="spellStart"/>
      <w:r>
        <w:t>Bathon</w:t>
      </w:r>
      <w:proofErr w:type="spellEnd"/>
      <w:r>
        <w:t xml:space="preserve"> JM, England BR, et al. 2021 American College of Rheumatology guideline for the treatment of rheumatoid arthritis. </w:t>
      </w:r>
      <w:proofErr w:type="spellStart"/>
      <w:r>
        <w:t>Arthrit</w:t>
      </w:r>
      <w:proofErr w:type="spellEnd"/>
      <w:r>
        <w:t xml:space="preserve"> Care Res. 2021;0:1-16.</w:t>
      </w:r>
    </w:p>
    <w:p w14:paraId="634B271D" w14:textId="6AC698AD" w:rsidR="001B7A6C" w:rsidRDefault="0025345A" w:rsidP="0025345A">
      <w:pPr>
        <w:pStyle w:val="ReferenceOrdered"/>
      </w:pPr>
      <w:r w:rsidRPr="00197787">
        <w:rPr>
          <w:lang w:val="sv-SE"/>
        </w:rPr>
        <w:t xml:space="preserve">Elmets C, Korman N, et al. </w:t>
      </w:r>
      <w:r>
        <w:t xml:space="preserve">Joint AAD-NPF guidelines of care for the management and treatment of psoriasis with topical therapy and alternative medicine modalities for psoriasis severity measures. J Am </w:t>
      </w:r>
      <w:proofErr w:type="spellStart"/>
      <w:r>
        <w:t>Acad</w:t>
      </w:r>
      <w:proofErr w:type="spellEnd"/>
      <w:r>
        <w:t xml:space="preserve"> Dermatol. 2021; 84(2):432-470.</w:t>
      </w:r>
    </w:p>
    <w:p w14:paraId="64D742E5" w14:textId="77777777" w:rsidR="0025345A" w:rsidRDefault="0025345A" w:rsidP="0025345A">
      <w:pPr>
        <w:pStyle w:val="ReferenceOrdered"/>
      </w:pPr>
      <w:proofErr w:type="spellStart"/>
      <w:r>
        <w:t>Onel</w:t>
      </w:r>
      <w:proofErr w:type="spellEnd"/>
      <w:r>
        <w:t xml:space="preserve"> KB, Horton DB, Lovell DJ, et al. 2021 American College of Rheumatology guideline for the treatment of juvenile idiopathic arthritis: therapeutic approaches for </w:t>
      </w:r>
      <w:proofErr w:type="spellStart"/>
      <w:r>
        <w:t>oligoarthritis</w:t>
      </w:r>
      <w:proofErr w:type="spellEnd"/>
      <w:r>
        <w:t xml:space="preserve">, temporomandibular joint arthritis, and systemic juvenile idiopathic arthritis. Arthritis </w:t>
      </w:r>
      <w:proofErr w:type="spellStart"/>
      <w:r>
        <w:t>Rheumatol</w:t>
      </w:r>
      <w:proofErr w:type="spellEnd"/>
      <w:r>
        <w:t>. 2022;74(4):553-569.</w:t>
      </w:r>
    </w:p>
    <w:p w14:paraId="312E2508" w14:textId="77777777" w:rsidR="0025345A" w:rsidRDefault="0025345A" w:rsidP="0025345A">
      <w:pPr>
        <w:pStyle w:val="ReferenceOrdered"/>
      </w:pPr>
      <w:r>
        <w:t xml:space="preserve">Angeles-Han ST, </w:t>
      </w:r>
      <w:proofErr w:type="spellStart"/>
      <w:r>
        <w:t>Ringold</w:t>
      </w:r>
      <w:proofErr w:type="spellEnd"/>
      <w:r>
        <w:t xml:space="preserve"> S, </w:t>
      </w:r>
      <w:proofErr w:type="spellStart"/>
      <w:r>
        <w:t>Beukelman</w:t>
      </w:r>
      <w:proofErr w:type="spellEnd"/>
      <w:r>
        <w:t xml:space="preserve"> T, et al. 2019 American College of Rheumatology/Arthritis Foundation guideline for the screening, monitoring, and treatment of juvenile idiopathic arthritis-associated uveitis. Arthritis Care Res. 2019; 71(6):703-716.</w:t>
      </w:r>
    </w:p>
    <w:p w14:paraId="3EC2A6A8" w14:textId="23341D2C" w:rsidR="00CB43EC" w:rsidRDefault="00CB43EC" w:rsidP="000B4052">
      <w:pPr>
        <w:pStyle w:val="ReferenceOrdered"/>
      </w:pPr>
      <w:proofErr w:type="spellStart"/>
      <w:r w:rsidRPr="00CB43EC">
        <w:t>Maronese</w:t>
      </w:r>
      <w:proofErr w:type="spellEnd"/>
      <w:r w:rsidRPr="00CB43EC">
        <w:t xml:space="preserve"> CA, Pimentel MA, et al. Pyoderma Gangrenosum: An Updated Literature Review on Established and Emerging Pharmacological Treatments. Am J Clin Dermatol. 2022;23(5):615-634.</w:t>
      </w:r>
    </w:p>
    <w:sectPr w:rsidR="00CB43EC" w:rsidSect="00DA1D5C">
      <w:type w:val="continuous"/>
      <w:pgSz w:w="12240" w:h="15840" w:code="1"/>
      <w:pgMar w:top="900" w:right="720" w:bottom="990" w:left="720" w:header="630" w:footer="59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92D20" w14:textId="77777777" w:rsidR="00655935" w:rsidRDefault="00655935">
      <w:r>
        <w:separator/>
      </w:r>
    </w:p>
  </w:endnote>
  <w:endnote w:type="continuationSeparator" w:id="0">
    <w:p w14:paraId="694E91D1" w14:textId="77777777" w:rsidR="00655935" w:rsidRDefault="00655935">
      <w:r>
        <w:continuationSeparator/>
      </w:r>
    </w:p>
  </w:endnote>
  <w:endnote w:type="continuationNotice" w:id="1">
    <w:p w14:paraId="6AD86065" w14:textId="77777777" w:rsidR="00655935" w:rsidRDefault="00655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9723DBF" w:rsidR="00C36B72" w:rsidRPr="00EC47B6" w:rsidRDefault="00D92DE3"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A1D5C" w:rsidRPr="00DA1D5C">
      <w:rPr>
        <w:rFonts w:cs="Arial"/>
        <w:noProof/>
        <w:sz w:val="16"/>
        <w:szCs w:val="16"/>
      </w:rPr>
      <w:t>Humira</w:t>
    </w:r>
    <w:r w:rsidR="00DA1D5C">
      <w:rPr>
        <w:rFonts w:cs="Arial"/>
        <w:noProof/>
        <w:snapToGrid w:val="0"/>
        <w:color w:val="000000"/>
        <w:sz w:val="16"/>
        <w:szCs w:val="16"/>
      </w:rPr>
      <w:t xml:space="preserve"> and Biosimilars</w:t>
    </w:r>
    <w:r w:rsidR="00DA1D5C" w:rsidRPr="00DA1D5C">
      <w:rPr>
        <w:rFonts w:cs="Arial"/>
        <w:noProof/>
        <w:sz w:val="16"/>
        <w:szCs w:val="16"/>
      </w:rPr>
      <w:t xml:space="preserve"> SGM 2008-A</w:t>
    </w:r>
    <w:r w:rsidR="00DA1D5C">
      <w:rPr>
        <w:rFonts w:cs="Arial"/>
        <w:noProof/>
        <w:snapToGrid w:val="0"/>
        <w:color w:val="000000"/>
        <w:sz w:val="16"/>
        <w:szCs w:val="16"/>
      </w:rPr>
      <w:t xml:space="preserve"> P2024b.docx</w:t>
    </w:r>
    <w:r w:rsidRPr="00EC47B6">
      <w:rPr>
        <w:rFonts w:cs="Arial"/>
        <w:noProof/>
        <w:sz w:val="16"/>
        <w:szCs w:val="16"/>
      </w:rPr>
      <w:fldChar w:fldCharType="end"/>
    </w:r>
    <w:r w:rsidR="00C36B72" w:rsidRPr="00EC47B6">
      <w:rPr>
        <w:rFonts w:cs="Arial"/>
        <w:snapToGrid w:val="0"/>
        <w:color w:val="000000"/>
        <w:sz w:val="16"/>
      </w:rPr>
      <w:tab/>
      <w:t>© 202</w:t>
    </w:r>
    <w:r w:rsidR="008B6DBE" w:rsidRPr="00EC47B6">
      <w:rPr>
        <w:rFonts w:cs="Arial"/>
        <w:snapToGrid w:val="0"/>
        <w:color w:val="000000"/>
        <w:sz w:val="16"/>
      </w:rPr>
      <w:t>4</w:t>
    </w:r>
    <w:r w:rsidR="00C36B72" w:rsidRPr="00EC47B6">
      <w:rPr>
        <w:rFonts w:cs="Arial"/>
        <w:snapToGrid w:val="0"/>
        <w:color w:val="000000"/>
        <w:sz w:val="16"/>
      </w:rPr>
      <w:t xml:space="preserve"> CVS Caremark. All rights reserved.</w:t>
    </w:r>
  </w:p>
  <w:p w14:paraId="0D186693" w14:textId="20E89C81" w:rsidR="001B7A6C"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094FCCC5" w:rsidR="00F75C81" w:rsidRPr="00AA1E6A" w:rsidRDefault="00C36B72" w:rsidP="000D5F5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15BC805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DA1D5C" w:rsidRPr="00DA1D5C">
      <w:rPr>
        <w:rFonts w:cs="Arial"/>
        <w:noProof/>
        <w:sz w:val="16"/>
        <w:szCs w:val="16"/>
      </w:rPr>
      <w:t>Humira</w:t>
    </w:r>
    <w:r w:rsidR="00DA1D5C">
      <w:rPr>
        <w:rFonts w:cs="Arial"/>
        <w:noProof/>
        <w:snapToGrid w:val="0"/>
        <w:color w:val="000000"/>
        <w:sz w:val="16"/>
        <w:szCs w:val="16"/>
      </w:rPr>
      <w:t xml:space="preserve"> and Biosimilars</w:t>
    </w:r>
    <w:r w:rsidR="00DA1D5C" w:rsidRPr="00DA1D5C">
      <w:rPr>
        <w:rFonts w:cs="Arial"/>
        <w:noProof/>
        <w:sz w:val="16"/>
        <w:szCs w:val="16"/>
      </w:rPr>
      <w:t xml:space="preserve"> SGM 2008-A</w:t>
    </w:r>
    <w:r w:rsidR="00DA1D5C">
      <w:rPr>
        <w:rFonts w:cs="Arial"/>
        <w:noProof/>
        <w:snapToGrid w:val="0"/>
        <w:color w:val="000000"/>
        <w:sz w:val="16"/>
        <w:szCs w:val="16"/>
      </w:rPr>
      <w:t xml:space="preserve"> P2024b.docx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3AB02ABB"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92D2B05" w:rsidR="00ED04EC" w:rsidRPr="00F50D98" w:rsidRDefault="00F50D98" w:rsidP="000D5F54">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5214E" w14:textId="77777777" w:rsidR="00655935" w:rsidRDefault="00655935">
      <w:r>
        <w:separator/>
      </w:r>
    </w:p>
  </w:footnote>
  <w:footnote w:type="continuationSeparator" w:id="0">
    <w:p w14:paraId="09AA918B" w14:textId="77777777" w:rsidR="00655935" w:rsidRDefault="00655935">
      <w:r>
        <w:continuationSeparator/>
      </w:r>
    </w:p>
  </w:footnote>
  <w:footnote w:type="continuationNotice" w:id="1">
    <w:p w14:paraId="228B6FD5" w14:textId="77777777" w:rsidR="00655935" w:rsidRDefault="006559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C5648F" w14:paraId="16262E63" w14:textId="77777777">
      <w:trPr>
        <w:trHeight w:val="144"/>
        <w:jc w:val="right"/>
      </w:trPr>
      <w:tc>
        <w:tcPr>
          <w:tcW w:w="1854" w:type="dxa"/>
          <w:hideMark/>
        </w:tcPr>
        <w:p w14:paraId="18F550B7" w14:textId="77777777" w:rsidR="00ED04EC" w:rsidRPr="00C5648F" w:rsidRDefault="00ED04EC" w:rsidP="00ED04EC">
          <w:pPr>
            <w:pStyle w:val="Header"/>
            <w:rPr>
              <w:rFonts w:cs="Arial"/>
              <w:sz w:val="16"/>
              <w:szCs w:val="16"/>
            </w:rPr>
          </w:pPr>
          <w:r w:rsidRPr="00C5648F">
            <w:rPr>
              <w:rFonts w:cs="Arial"/>
              <w:sz w:val="16"/>
              <w:szCs w:val="16"/>
            </w:rPr>
            <w:t>Reference number(s)</w:t>
          </w:r>
        </w:p>
      </w:tc>
    </w:tr>
    <w:tr w:rsidR="00ED04EC" w:rsidRPr="00C5648F" w14:paraId="703C6588" w14:textId="77777777">
      <w:trPr>
        <w:trHeight w:val="378"/>
        <w:jc w:val="right"/>
      </w:trPr>
      <w:tc>
        <w:tcPr>
          <w:tcW w:w="1854" w:type="dxa"/>
          <w:hideMark/>
        </w:tcPr>
        <w:p w14:paraId="51CE3E64" w14:textId="7CDAF73D" w:rsidR="00ED04EC" w:rsidRPr="00C5648F" w:rsidRDefault="00BE77C7" w:rsidP="00ED04EC">
          <w:pPr>
            <w:pStyle w:val="Header"/>
            <w:rPr>
              <w:rFonts w:cs="Arial"/>
              <w:sz w:val="16"/>
              <w:szCs w:val="16"/>
            </w:rPr>
          </w:pPr>
          <w:r w:rsidRPr="00C5648F">
            <w:rPr>
              <w:rFonts w:cs="Arial"/>
              <w:sz w:val="16"/>
              <w:szCs w:val="16"/>
            </w:rPr>
            <w:t>2008-A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20E93"/>
    <w:multiLevelType w:val="hybridMultilevel"/>
    <w:tmpl w:val="5CDCC62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1" w15:restartNumberingAfterBreak="0">
    <w:nsid w:val="020E047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8A6FE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BF5C6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EB838F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EEE3EF8"/>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1795C3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1A86B40"/>
    <w:multiLevelType w:val="hybridMultilevel"/>
    <w:tmpl w:val="6988E80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2" w15:restartNumberingAfterBreak="0">
    <w:nsid w:val="22C76C2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24B85935"/>
    <w:multiLevelType w:val="hybridMultilevel"/>
    <w:tmpl w:val="1F58F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A8314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311461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2C420F"/>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B555E1C"/>
    <w:multiLevelType w:val="hybridMultilevel"/>
    <w:tmpl w:val="4028C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EB0ADC"/>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25A3C01"/>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49D35BF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C0E6DAD"/>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C3B490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4CF93F1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4DD35109"/>
    <w:multiLevelType w:val="hybridMultilevel"/>
    <w:tmpl w:val="2550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6B6B06"/>
    <w:multiLevelType w:val="hybridMultilevel"/>
    <w:tmpl w:val="CCDCBB1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37A38A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52004A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444594"/>
    <w:multiLevelType w:val="hybridMultilevel"/>
    <w:tmpl w:val="2E3C0E5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95F6734E">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F771E5B"/>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0DB0068"/>
    <w:multiLevelType w:val="hybridMultilevel"/>
    <w:tmpl w:val="46AE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566060"/>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58326B1"/>
    <w:multiLevelType w:val="hybridMultilevel"/>
    <w:tmpl w:val="0470AB48"/>
    <w:lvl w:ilvl="0" w:tplc="6296AE68">
      <w:start w:val="1"/>
      <w:numFmt w:val="decimal"/>
      <w:pStyle w:val="ReferenceOrd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2062A9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73096154"/>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73DB5EBE"/>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4826FF2"/>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762E082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B01ACA"/>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9C82DE6"/>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45"/>
  </w:num>
  <w:num w:numId="3" w16cid:durableId="611589570">
    <w:abstractNumId w:val="3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2"/>
  </w:num>
  <w:num w:numId="16" w16cid:durableId="898320195">
    <w:abstractNumId w:val="26"/>
  </w:num>
  <w:num w:numId="17" w16cid:durableId="2128498676">
    <w:abstractNumId w:val="51"/>
  </w:num>
  <w:num w:numId="18" w16cid:durableId="299724409">
    <w:abstractNumId w:val="41"/>
  </w:num>
  <w:num w:numId="19" w16cid:durableId="214585573">
    <w:abstractNumId w:val="16"/>
  </w:num>
  <w:num w:numId="20" w16cid:durableId="1066490929">
    <w:abstractNumId w:val="54"/>
  </w:num>
  <w:num w:numId="21" w16cid:durableId="1397123207">
    <w:abstractNumId w:val="43"/>
  </w:num>
  <w:num w:numId="22" w16cid:durableId="2047099688">
    <w:abstractNumId w:val="40"/>
  </w:num>
  <w:num w:numId="23" w16cid:durableId="2118258309">
    <w:abstractNumId w:val="28"/>
  </w:num>
  <w:num w:numId="24" w16cid:durableId="174854102">
    <w:abstractNumId w:val="23"/>
  </w:num>
  <w:num w:numId="25" w16cid:durableId="1441027496">
    <w:abstractNumId w:val="35"/>
  </w:num>
  <w:num w:numId="26" w16cid:durableId="334768166">
    <w:abstractNumId w:val="10"/>
  </w:num>
  <w:num w:numId="27" w16cid:durableId="697320880">
    <w:abstractNumId w:val="21"/>
  </w:num>
  <w:num w:numId="28" w16cid:durableId="1860463682">
    <w:abstractNumId w:val="31"/>
  </w:num>
  <w:num w:numId="29" w16cid:durableId="1694763474">
    <w:abstractNumId w:val="34"/>
  </w:num>
  <w:num w:numId="30" w16cid:durableId="2109813614">
    <w:abstractNumId w:val="24"/>
  </w:num>
  <w:num w:numId="31" w16cid:durableId="2093089778">
    <w:abstractNumId w:val="39"/>
  </w:num>
  <w:num w:numId="32" w16cid:durableId="2056617407">
    <w:abstractNumId w:val="11"/>
  </w:num>
  <w:num w:numId="33" w16cid:durableId="1347363162">
    <w:abstractNumId w:val="42"/>
  </w:num>
  <w:num w:numId="34" w16cid:durableId="1055356344">
    <w:abstractNumId w:val="13"/>
  </w:num>
  <w:num w:numId="35" w16cid:durableId="1243953104">
    <w:abstractNumId w:val="29"/>
  </w:num>
  <w:num w:numId="36" w16cid:durableId="1454323007">
    <w:abstractNumId w:val="20"/>
  </w:num>
  <w:num w:numId="37" w16cid:durableId="93677379">
    <w:abstractNumId w:val="18"/>
  </w:num>
  <w:num w:numId="38" w16cid:durableId="895704907">
    <w:abstractNumId w:val="50"/>
  </w:num>
  <w:num w:numId="39" w16cid:durableId="1737556283">
    <w:abstractNumId w:val="52"/>
  </w:num>
  <w:num w:numId="40" w16cid:durableId="1642543094">
    <w:abstractNumId w:val="48"/>
  </w:num>
  <w:num w:numId="41" w16cid:durableId="147019576">
    <w:abstractNumId w:val="17"/>
  </w:num>
  <w:num w:numId="42" w16cid:durableId="2084596455">
    <w:abstractNumId w:val="53"/>
  </w:num>
  <w:num w:numId="43" w16cid:durableId="1360426082">
    <w:abstractNumId w:val="32"/>
  </w:num>
  <w:num w:numId="44" w16cid:durableId="566501532">
    <w:abstractNumId w:val="54"/>
  </w:num>
  <w:num w:numId="45" w16cid:durableId="598026879">
    <w:abstractNumId w:val="30"/>
  </w:num>
  <w:num w:numId="46" w16cid:durableId="728918905">
    <w:abstractNumId w:val="54"/>
  </w:num>
  <w:num w:numId="47" w16cid:durableId="959801204">
    <w:abstractNumId w:val="25"/>
  </w:num>
  <w:num w:numId="48" w16cid:durableId="2009939062">
    <w:abstractNumId w:val="27"/>
  </w:num>
  <w:num w:numId="49" w16cid:durableId="1989359891">
    <w:abstractNumId w:val="19"/>
  </w:num>
  <w:num w:numId="50" w16cid:durableId="761881606">
    <w:abstractNumId w:val="47"/>
  </w:num>
  <w:num w:numId="51" w16cid:durableId="75590379">
    <w:abstractNumId w:val="54"/>
  </w:num>
  <w:num w:numId="52" w16cid:durableId="1877622723">
    <w:abstractNumId w:val="54"/>
  </w:num>
  <w:num w:numId="53" w16cid:durableId="521750330">
    <w:abstractNumId w:val="38"/>
  </w:num>
  <w:num w:numId="54" w16cid:durableId="1223252287">
    <w:abstractNumId w:val="22"/>
  </w:num>
  <w:num w:numId="55" w16cid:durableId="1449469401">
    <w:abstractNumId w:val="33"/>
  </w:num>
  <w:num w:numId="56" w16cid:durableId="1842046437">
    <w:abstractNumId w:val="46"/>
  </w:num>
  <w:num w:numId="57" w16cid:durableId="1564297741">
    <w:abstractNumId w:val="49"/>
  </w:num>
  <w:num w:numId="58" w16cid:durableId="1263608818">
    <w:abstractNumId w:val="54"/>
  </w:num>
  <w:num w:numId="59" w16cid:durableId="127281524">
    <w:abstractNumId w:val="44"/>
  </w:num>
  <w:num w:numId="60" w16cid:durableId="582035133">
    <w:abstractNumId w:val="54"/>
  </w:num>
  <w:num w:numId="61" w16cid:durableId="1600481910">
    <w:abstractNumId w:val="45"/>
    <w:lvlOverride w:ilvl="0">
      <w:startOverride w:val="1"/>
    </w:lvlOverride>
  </w:num>
  <w:num w:numId="62" w16cid:durableId="432478159">
    <w:abstractNumId w:val="45"/>
    <w:lvlOverride w:ilvl="0">
      <w:startOverride w:val="1"/>
    </w:lvlOverride>
  </w:num>
  <w:num w:numId="63" w16cid:durableId="1564291497">
    <w:abstractNumId w:val="45"/>
    <w:lvlOverride w:ilvl="0">
      <w:startOverride w:val="1"/>
    </w:lvlOverride>
  </w:num>
  <w:num w:numId="64" w16cid:durableId="176969518">
    <w:abstractNumId w:val="45"/>
    <w:lvlOverride w:ilvl="0">
      <w:startOverride w:val="1"/>
    </w:lvlOverride>
  </w:num>
  <w:num w:numId="65" w16cid:durableId="2000383442">
    <w:abstractNumId w:val="45"/>
    <w:lvlOverride w:ilvl="0">
      <w:startOverride w:val="1"/>
    </w:lvlOverride>
  </w:num>
  <w:num w:numId="66" w16cid:durableId="902372432">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3AB9"/>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5B23"/>
    <w:rsid w:val="00066D4B"/>
    <w:rsid w:val="0006765E"/>
    <w:rsid w:val="00067732"/>
    <w:rsid w:val="0006774C"/>
    <w:rsid w:val="000703FF"/>
    <w:rsid w:val="00070758"/>
    <w:rsid w:val="00070C48"/>
    <w:rsid w:val="000717F6"/>
    <w:rsid w:val="00071A7F"/>
    <w:rsid w:val="00071B52"/>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1F7C"/>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0EF6"/>
    <w:rsid w:val="000913DE"/>
    <w:rsid w:val="00091E1D"/>
    <w:rsid w:val="0009326E"/>
    <w:rsid w:val="00093AB5"/>
    <w:rsid w:val="00094A59"/>
    <w:rsid w:val="00095B9C"/>
    <w:rsid w:val="0009781E"/>
    <w:rsid w:val="00097A5A"/>
    <w:rsid w:val="000A001C"/>
    <w:rsid w:val="000A0CCE"/>
    <w:rsid w:val="000A1653"/>
    <w:rsid w:val="000A1ACD"/>
    <w:rsid w:val="000A2697"/>
    <w:rsid w:val="000A34B0"/>
    <w:rsid w:val="000A3543"/>
    <w:rsid w:val="000A4167"/>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552"/>
    <w:rsid w:val="000C28E8"/>
    <w:rsid w:val="000C3B5A"/>
    <w:rsid w:val="000C49A1"/>
    <w:rsid w:val="000C5A6F"/>
    <w:rsid w:val="000C625F"/>
    <w:rsid w:val="000C6C34"/>
    <w:rsid w:val="000C6FAA"/>
    <w:rsid w:val="000C7000"/>
    <w:rsid w:val="000C78EA"/>
    <w:rsid w:val="000C7B51"/>
    <w:rsid w:val="000C7EA2"/>
    <w:rsid w:val="000D0438"/>
    <w:rsid w:val="000D04AF"/>
    <w:rsid w:val="000D126F"/>
    <w:rsid w:val="000D1463"/>
    <w:rsid w:val="000D19C4"/>
    <w:rsid w:val="000D1D17"/>
    <w:rsid w:val="000D2496"/>
    <w:rsid w:val="000D24FD"/>
    <w:rsid w:val="000D31D7"/>
    <w:rsid w:val="000D39D5"/>
    <w:rsid w:val="000D44C7"/>
    <w:rsid w:val="000D454D"/>
    <w:rsid w:val="000D4EA4"/>
    <w:rsid w:val="000D5101"/>
    <w:rsid w:val="000D5978"/>
    <w:rsid w:val="000D5D4B"/>
    <w:rsid w:val="000D5F54"/>
    <w:rsid w:val="000D6430"/>
    <w:rsid w:val="000D7ED8"/>
    <w:rsid w:val="000E0438"/>
    <w:rsid w:val="000E095D"/>
    <w:rsid w:val="000E0C62"/>
    <w:rsid w:val="000E24FA"/>
    <w:rsid w:val="000E2ECC"/>
    <w:rsid w:val="000E37E4"/>
    <w:rsid w:val="000E3A1B"/>
    <w:rsid w:val="000E3DD4"/>
    <w:rsid w:val="000E65C5"/>
    <w:rsid w:val="000E6D53"/>
    <w:rsid w:val="000E7263"/>
    <w:rsid w:val="000E738D"/>
    <w:rsid w:val="000E76DC"/>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051"/>
    <w:rsid w:val="0010527A"/>
    <w:rsid w:val="001054B4"/>
    <w:rsid w:val="00105956"/>
    <w:rsid w:val="00107394"/>
    <w:rsid w:val="001074E7"/>
    <w:rsid w:val="001075C1"/>
    <w:rsid w:val="00107B1D"/>
    <w:rsid w:val="00110AF8"/>
    <w:rsid w:val="00110DE3"/>
    <w:rsid w:val="00110F57"/>
    <w:rsid w:val="00111842"/>
    <w:rsid w:val="001120B7"/>
    <w:rsid w:val="0011411C"/>
    <w:rsid w:val="00114D95"/>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160E"/>
    <w:rsid w:val="00132118"/>
    <w:rsid w:val="0013238F"/>
    <w:rsid w:val="001344B1"/>
    <w:rsid w:val="00134671"/>
    <w:rsid w:val="0013477B"/>
    <w:rsid w:val="0013503B"/>
    <w:rsid w:val="001356EF"/>
    <w:rsid w:val="00136BE6"/>
    <w:rsid w:val="00136D08"/>
    <w:rsid w:val="001370F9"/>
    <w:rsid w:val="00137657"/>
    <w:rsid w:val="00137956"/>
    <w:rsid w:val="00137C7B"/>
    <w:rsid w:val="00140B8C"/>
    <w:rsid w:val="00140ED6"/>
    <w:rsid w:val="00141182"/>
    <w:rsid w:val="0014186C"/>
    <w:rsid w:val="0014405C"/>
    <w:rsid w:val="0014413C"/>
    <w:rsid w:val="00144795"/>
    <w:rsid w:val="001448D4"/>
    <w:rsid w:val="00144B23"/>
    <w:rsid w:val="00144BEB"/>
    <w:rsid w:val="00145A96"/>
    <w:rsid w:val="00146C1A"/>
    <w:rsid w:val="00150A20"/>
    <w:rsid w:val="00150AFC"/>
    <w:rsid w:val="001514C9"/>
    <w:rsid w:val="00151DA8"/>
    <w:rsid w:val="00152135"/>
    <w:rsid w:val="00153164"/>
    <w:rsid w:val="00154752"/>
    <w:rsid w:val="00154B0F"/>
    <w:rsid w:val="00154E30"/>
    <w:rsid w:val="00155A51"/>
    <w:rsid w:val="001560C4"/>
    <w:rsid w:val="00156A50"/>
    <w:rsid w:val="00156B77"/>
    <w:rsid w:val="00156E31"/>
    <w:rsid w:val="00160472"/>
    <w:rsid w:val="00161A97"/>
    <w:rsid w:val="00162951"/>
    <w:rsid w:val="001630B4"/>
    <w:rsid w:val="00165258"/>
    <w:rsid w:val="00165670"/>
    <w:rsid w:val="00165A99"/>
    <w:rsid w:val="001675AA"/>
    <w:rsid w:val="00170325"/>
    <w:rsid w:val="00173AB9"/>
    <w:rsid w:val="00174742"/>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97787"/>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B7A6C"/>
    <w:rsid w:val="001C1C00"/>
    <w:rsid w:val="001C1C5D"/>
    <w:rsid w:val="001C2409"/>
    <w:rsid w:val="001C266E"/>
    <w:rsid w:val="001C4413"/>
    <w:rsid w:val="001C498D"/>
    <w:rsid w:val="001C4AFD"/>
    <w:rsid w:val="001C50A0"/>
    <w:rsid w:val="001C5167"/>
    <w:rsid w:val="001C55A0"/>
    <w:rsid w:val="001C5FD5"/>
    <w:rsid w:val="001C6072"/>
    <w:rsid w:val="001C6417"/>
    <w:rsid w:val="001C6E21"/>
    <w:rsid w:val="001C7176"/>
    <w:rsid w:val="001C789A"/>
    <w:rsid w:val="001C7A14"/>
    <w:rsid w:val="001D003B"/>
    <w:rsid w:val="001D009C"/>
    <w:rsid w:val="001D0E3C"/>
    <w:rsid w:val="001D11DC"/>
    <w:rsid w:val="001D164A"/>
    <w:rsid w:val="001D1698"/>
    <w:rsid w:val="001D202E"/>
    <w:rsid w:val="001D2253"/>
    <w:rsid w:val="001D2D06"/>
    <w:rsid w:val="001D2E27"/>
    <w:rsid w:val="001D3206"/>
    <w:rsid w:val="001D36C8"/>
    <w:rsid w:val="001D4343"/>
    <w:rsid w:val="001D536B"/>
    <w:rsid w:val="001D56F3"/>
    <w:rsid w:val="001D595E"/>
    <w:rsid w:val="001D5AA2"/>
    <w:rsid w:val="001D5F74"/>
    <w:rsid w:val="001D68F8"/>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652"/>
    <w:rsid w:val="001F6F6F"/>
    <w:rsid w:val="002017F4"/>
    <w:rsid w:val="0020277A"/>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176B0"/>
    <w:rsid w:val="00217D53"/>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15F1"/>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4FC8"/>
    <w:rsid w:val="0024663D"/>
    <w:rsid w:val="00247014"/>
    <w:rsid w:val="002504F9"/>
    <w:rsid w:val="00250C39"/>
    <w:rsid w:val="00250E25"/>
    <w:rsid w:val="00251EE2"/>
    <w:rsid w:val="00252CE1"/>
    <w:rsid w:val="0025338B"/>
    <w:rsid w:val="0025345A"/>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2E9E"/>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629"/>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264"/>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5C66"/>
    <w:rsid w:val="002D6257"/>
    <w:rsid w:val="002D6987"/>
    <w:rsid w:val="002E030E"/>
    <w:rsid w:val="002E06B0"/>
    <w:rsid w:val="002E15A0"/>
    <w:rsid w:val="002E1D9A"/>
    <w:rsid w:val="002E254D"/>
    <w:rsid w:val="002E362E"/>
    <w:rsid w:val="002E3C61"/>
    <w:rsid w:val="002E3D87"/>
    <w:rsid w:val="002E45CD"/>
    <w:rsid w:val="002E5C63"/>
    <w:rsid w:val="002E60E4"/>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76C"/>
    <w:rsid w:val="00305A72"/>
    <w:rsid w:val="00305BDF"/>
    <w:rsid w:val="00305F83"/>
    <w:rsid w:val="00306B2E"/>
    <w:rsid w:val="003070FF"/>
    <w:rsid w:val="00307475"/>
    <w:rsid w:val="00307499"/>
    <w:rsid w:val="00307DCC"/>
    <w:rsid w:val="003116A8"/>
    <w:rsid w:val="0031275A"/>
    <w:rsid w:val="003127DD"/>
    <w:rsid w:val="00312E1C"/>
    <w:rsid w:val="00313D83"/>
    <w:rsid w:val="00313EB3"/>
    <w:rsid w:val="00313FC5"/>
    <w:rsid w:val="00315003"/>
    <w:rsid w:val="00315D6F"/>
    <w:rsid w:val="00316A6B"/>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AD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D12"/>
    <w:rsid w:val="00341F47"/>
    <w:rsid w:val="00342365"/>
    <w:rsid w:val="00343BE2"/>
    <w:rsid w:val="00343E90"/>
    <w:rsid w:val="00345D48"/>
    <w:rsid w:val="003468AA"/>
    <w:rsid w:val="00346D5D"/>
    <w:rsid w:val="00346FA2"/>
    <w:rsid w:val="00347C02"/>
    <w:rsid w:val="00350DF1"/>
    <w:rsid w:val="00351F88"/>
    <w:rsid w:val="003524E5"/>
    <w:rsid w:val="00352959"/>
    <w:rsid w:val="00352B5E"/>
    <w:rsid w:val="00352BC7"/>
    <w:rsid w:val="0035382B"/>
    <w:rsid w:val="003543BE"/>
    <w:rsid w:val="00354AE7"/>
    <w:rsid w:val="00354CFD"/>
    <w:rsid w:val="00355509"/>
    <w:rsid w:val="00355DCF"/>
    <w:rsid w:val="003569BC"/>
    <w:rsid w:val="003608FE"/>
    <w:rsid w:val="00360F75"/>
    <w:rsid w:val="00361AEE"/>
    <w:rsid w:val="00362CE9"/>
    <w:rsid w:val="00363C40"/>
    <w:rsid w:val="00363EF7"/>
    <w:rsid w:val="00363F55"/>
    <w:rsid w:val="0036404E"/>
    <w:rsid w:val="00364436"/>
    <w:rsid w:val="0036461D"/>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20CD"/>
    <w:rsid w:val="003936BB"/>
    <w:rsid w:val="00393961"/>
    <w:rsid w:val="00394467"/>
    <w:rsid w:val="00395521"/>
    <w:rsid w:val="00395A71"/>
    <w:rsid w:val="00396A5B"/>
    <w:rsid w:val="00396D00"/>
    <w:rsid w:val="00397160"/>
    <w:rsid w:val="00397391"/>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7EC"/>
    <w:rsid w:val="003B5A8C"/>
    <w:rsid w:val="003B5C47"/>
    <w:rsid w:val="003B6158"/>
    <w:rsid w:val="003B7DE9"/>
    <w:rsid w:val="003C1EA0"/>
    <w:rsid w:val="003C219B"/>
    <w:rsid w:val="003C2846"/>
    <w:rsid w:val="003C2DBA"/>
    <w:rsid w:val="003C2F46"/>
    <w:rsid w:val="003C33EE"/>
    <w:rsid w:val="003C3B92"/>
    <w:rsid w:val="003C3EB1"/>
    <w:rsid w:val="003C47E1"/>
    <w:rsid w:val="003C4CD4"/>
    <w:rsid w:val="003C4FF2"/>
    <w:rsid w:val="003C66DD"/>
    <w:rsid w:val="003C6EB7"/>
    <w:rsid w:val="003C6ED6"/>
    <w:rsid w:val="003C7530"/>
    <w:rsid w:val="003D0BBA"/>
    <w:rsid w:val="003D16A3"/>
    <w:rsid w:val="003D1B9C"/>
    <w:rsid w:val="003D1FBC"/>
    <w:rsid w:val="003D240A"/>
    <w:rsid w:val="003D2BE7"/>
    <w:rsid w:val="003D2ECF"/>
    <w:rsid w:val="003D32CE"/>
    <w:rsid w:val="003D37ED"/>
    <w:rsid w:val="003D395A"/>
    <w:rsid w:val="003D45FD"/>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574"/>
    <w:rsid w:val="0040594C"/>
    <w:rsid w:val="00405C5D"/>
    <w:rsid w:val="00407C38"/>
    <w:rsid w:val="0041023B"/>
    <w:rsid w:val="0041061B"/>
    <w:rsid w:val="00411195"/>
    <w:rsid w:val="00411413"/>
    <w:rsid w:val="004127A0"/>
    <w:rsid w:val="00412ABD"/>
    <w:rsid w:val="00412C14"/>
    <w:rsid w:val="00413612"/>
    <w:rsid w:val="00413801"/>
    <w:rsid w:val="00413861"/>
    <w:rsid w:val="0041471C"/>
    <w:rsid w:val="004154F5"/>
    <w:rsid w:val="0041567E"/>
    <w:rsid w:val="004159B2"/>
    <w:rsid w:val="004172BF"/>
    <w:rsid w:val="00420227"/>
    <w:rsid w:val="00420545"/>
    <w:rsid w:val="00420E1B"/>
    <w:rsid w:val="00420EE4"/>
    <w:rsid w:val="00421305"/>
    <w:rsid w:val="00421841"/>
    <w:rsid w:val="0042209A"/>
    <w:rsid w:val="0042222E"/>
    <w:rsid w:val="00422416"/>
    <w:rsid w:val="004226CD"/>
    <w:rsid w:val="00422766"/>
    <w:rsid w:val="004236F4"/>
    <w:rsid w:val="00423C96"/>
    <w:rsid w:val="00423EFB"/>
    <w:rsid w:val="00425453"/>
    <w:rsid w:val="004256A3"/>
    <w:rsid w:val="004260D4"/>
    <w:rsid w:val="004260DE"/>
    <w:rsid w:val="0042761F"/>
    <w:rsid w:val="00427B15"/>
    <w:rsid w:val="00430B2F"/>
    <w:rsid w:val="00431634"/>
    <w:rsid w:val="0043179F"/>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73C"/>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42C"/>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AFA"/>
    <w:rsid w:val="00462FA2"/>
    <w:rsid w:val="00465D41"/>
    <w:rsid w:val="00467039"/>
    <w:rsid w:val="0046758D"/>
    <w:rsid w:val="0046774D"/>
    <w:rsid w:val="00467A62"/>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4B3"/>
    <w:rsid w:val="004B0D3E"/>
    <w:rsid w:val="004B0F4B"/>
    <w:rsid w:val="004B15BB"/>
    <w:rsid w:val="004B1639"/>
    <w:rsid w:val="004B1EDB"/>
    <w:rsid w:val="004B2869"/>
    <w:rsid w:val="004B2A01"/>
    <w:rsid w:val="004B384B"/>
    <w:rsid w:val="004B393A"/>
    <w:rsid w:val="004B3ECE"/>
    <w:rsid w:val="004B3F99"/>
    <w:rsid w:val="004B42FA"/>
    <w:rsid w:val="004B4E86"/>
    <w:rsid w:val="004B4FE3"/>
    <w:rsid w:val="004B504B"/>
    <w:rsid w:val="004B50BB"/>
    <w:rsid w:val="004B5614"/>
    <w:rsid w:val="004B5877"/>
    <w:rsid w:val="004B5B65"/>
    <w:rsid w:val="004B71E5"/>
    <w:rsid w:val="004B758F"/>
    <w:rsid w:val="004C00B9"/>
    <w:rsid w:val="004C03AC"/>
    <w:rsid w:val="004C0A3F"/>
    <w:rsid w:val="004C32BE"/>
    <w:rsid w:val="004C3F91"/>
    <w:rsid w:val="004C4493"/>
    <w:rsid w:val="004C45E2"/>
    <w:rsid w:val="004C4D0C"/>
    <w:rsid w:val="004C53B2"/>
    <w:rsid w:val="004C64EE"/>
    <w:rsid w:val="004C6FCE"/>
    <w:rsid w:val="004C77D4"/>
    <w:rsid w:val="004C7CDB"/>
    <w:rsid w:val="004C7E69"/>
    <w:rsid w:val="004C7F1D"/>
    <w:rsid w:val="004D0231"/>
    <w:rsid w:val="004D066D"/>
    <w:rsid w:val="004D1409"/>
    <w:rsid w:val="004D1852"/>
    <w:rsid w:val="004D1AAF"/>
    <w:rsid w:val="004D24E3"/>
    <w:rsid w:val="004D25DC"/>
    <w:rsid w:val="004D2645"/>
    <w:rsid w:val="004D2C9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7A9"/>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044C"/>
    <w:rsid w:val="00501602"/>
    <w:rsid w:val="00501D1D"/>
    <w:rsid w:val="00501EDE"/>
    <w:rsid w:val="00502535"/>
    <w:rsid w:val="005026A9"/>
    <w:rsid w:val="00502F0F"/>
    <w:rsid w:val="005036A0"/>
    <w:rsid w:val="005038FC"/>
    <w:rsid w:val="00503FB8"/>
    <w:rsid w:val="00504015"/>
    <w:rsid w:val="00504745"/>
    <w:rsid w:val="00504A89"/>
    <w:rsid w:val="00504AA5"/>
    <w:rsid w:val="00504B53"/>
    <w:rsid w:val="0050562E"/>
    <w:rsid w:val="005057A5"/>
    <w:rsid w:val="00505BEF"/>
    <w:rsid w:val="0050618F"/>
    <w:rsid w:val="00511426"/>
    <w:rsid w:val="00511573"/>
    <w:rsid w:val="00512353"/>
    <w:rsid w:val="00512508"/>
    <w:rsid w:val="00512BF9"/>
    <w:rsid w:val="0051361C"/>
    <w:rsid w:val="00513C29"/>
    <w:rsid w:val="00513FB7"/>
    <w:rsid w:val="0051471D"/>
    <w:rsid w:val="00514A01"/>
    <w:rsid w:val="00514A89"/>
    <w:rsid w:val="00515A3D"/>
    <w:rsid w:val="00515A5C"/>
    <w:rsid w:val="005166CA"/>
    <w:rsid w:val="00516920"/>
    <w:rsid w:val="00517206"/>
    <w:rsid w:val="00520296"/>
    <w:rsid w:val="00520A89"/>
    <w:rsid w:val="005210A8"/>
    <w:rsid w:val="00521489"/>
    <w:rsid w:val="005216D2"/>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24C"/>
    <w:rsid w:val="00535B1E"/>
    <w:rsid w:val="00536B4C"/>
    <w:rsid w:val="00537391"/>
    <w:rsid w:val="00537C2E"/>
    <w:rsid w:val="00540230"/>
    <w:rsid w:val="00540519"/>
    <w:rsid w:val="0054060A"/>
    <w:rsid w:val="00540769"/>
    <w:rsid w:val="0054123C"/>
    <w:rsid w:val="00542E88"/>
    <w:rsid w:val="005444CF"/>
    <w:rsid w:val="00544D46"/>
    <w:rsid w:val="00545584"/>
    <w:rsid w:val="00545D7B"/>
    <w:rsid w:val="005462B1"/>
    <w:rsid w:val="0054721E"/>
    <w:rsid w:val="00547DC8"/>
    <w:rsid w:val="00552A6C"/>
    <w:rsid w:val="00552AD2"/>
    <w:rsid w:val="0055331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1ED9"/>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45D"/>
    <w:rsid w:val="00584BA6"/>
    <w:rsid w:val="00584C74"/>
    <w:rsid w:val="00585601"/>
    <w:rsid w:val="0058589F"/>
    <w:rsid w:val="005858A3"/>
    <w:rsid w:val="0058593A"/>
    <w:rsid w:val="00585FFF"/>
    <w:rsid w:val="0058649E"/>
    <w:rsid w:val="0058662F"/>
    <w:rsid w:val="005866BE"/>
    <w:rsid w:val="0058694F"/>
    <w:rsid w:val="00586ED1"/>
    <w:rsid w:val="005878D0"/>
    <w:rsid w:val="00587947"/>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117"/>
    <w:rsid w:val="005B425D"/>
    <w:rsid w:val="005B496D"/>
    <w:rsid w:val="005B4D7C"/>
    <w:rsid w:val="005B52C4"/>
    <w:rsid w:val="005B5362"/>
    <w:rsid w:val="005B643F"/>
    <w:rsid w:val="005C026B"/>
    <w:rsid w:val="005C0790"/>
    <w:rsid w:val="005C194C"/>
    <w:rsid w:val="005C2667"/>
    <w:rsid w:val="005C295A"/>
    <w:rsid w:val="005C2C21"/>
    <w:rsid w:val="005C3B4F"/>
    <w:rsid w:val="005C44D1"/>
    <w:rsid w:val="005C4DF6"/>
    <w:rsid w:val="005C52A6"/>
    <w:rsid w:val="005C6812"/>
    <w:rsid w:val="005C6D2C"/>
    <w:rsid w:val="005C70B5"/>
    <w:rsid w:val="005C778C"/>
    <w:rsid w:val="005C7E7D"/>
    <w:rsid w:val="005D000A"/>
    <w:rsid w:val="005D0CD7"/>
    <w:rsid w:val="005D0ED8"/>
    <w:rsid w:val="005D14DC"/>
    <w:rsid w:val="005D154E"/>
    <w:rsid w:val="005D1B57"/>
    <w:rsid w:val="005D2B36"/>
    <w:rsid w:val="005D2C56"/>
    <w:rsid w:val="005D2E4C"/>
    <w:rsid w:val="005D3FE0"/>
    <w:rsid w:val="005D45D2"/>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16B"/>
    <w:rsid w:val="005F7345"/>
    <w:rsid w:val="005F7625"/>
    <w:rsid w:val="005F7832"/>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09D7"/>
    <w:rsid w:val="00621772"/>
    <w:rsid w:val="00622770"/>
    <w:rsid w:val="00622801"/>
    <w:rsid w:val="00622BDF"/>
    <w:rsid w:val="00623221"/>
    <w:rsid w:val="00624A0A"/>
    <w:rsid w:val="00624CA8"/>
    <w:rsid w:val="00624FDF"/>
    <w:rsid w:val="006252F2"/>
    <w:rsid w:val="00625D43"/>
    <w:rsid w:val="00626122"/>
    <w:rsid w:val="006266FE"/>
    <w:rsid w:val="00626803"/>
    <w:rsid w:val="006278F4"/>
    <w:rsid w:val="00627A27"/>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584"/>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935"/>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2D5"/>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4F6B"/>
    <w:rsid w:val="00675422"/>
    <w:rsid w:val="006754FB"/>
    <w:rsid w:val="00675C7A"/>
    <w:rsid w:val="00675EC3"/>
    <w:rsid w:val="00676116"/>
    <w:rsid w:val="006801C0"/>
    <w:rsid w:val="0068254A"/>
    <w:rsid w:val="00683327"/>
    <w:rsid w:val="00683AAE"/>
    <w:rsid w:val="00683C7C"/>
    <w:rsid w:val="0068444E"/>
    <w:rsid w:val="00684881"/>
    <w:rsid w:val="006850EF"/>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974BC"/>
    <w:rsid w:val="006A1860"/>
    <w:rsid w:val="006A1D42"/>
    <w:rsid w:val="006A22A4"/>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AD3"/>
    <w:rsid w:val="006C1D68"/>
    <w:rsid w:val="006C30ED"/>
    <w:rsid w:val="006C3252"/>
    <w:rsid w:val="006C48F6"/>
    <w:rsid w:val="006C519A"/>
    <w:rsid w:val="006C52D4"/>
    <w:rsid w:val="006C54C7"/>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5F50"/>
    <w:rsid w:val="006E7677"/>
    <w:rsid w:val="006E7E43"/>
    <w:rsid w:val="006E7FCD"/>
    <w:rsid w:val="006F01E6"/>
    <w:rsid w:val="006F05FA"/>
    <w:rsid w:val="006F214B"/>
    <w:rsid w:val="006F2882"/>
    <w:rsid w:val="006F3306"/>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0D"/>
    <w:rsid w:val="00707218"/>
    <w:rsid w:val="007074F5"/>
    <w:rsid w:val="00707DEE"/>
    <w:rsid w:val="00711A79"/>
    <w:rsid w:val="007123DD"/>
    <w:rsid w:val="007125BE"/>
    <w:rsid w:val="0071294F"/>
    <w:rsid w:val="00712D7E"/>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3DA"/>
    <w:rsid w:val="00725714"/>
    <w:rsid w:val="00725E33"/>
    <w:rsid w:val="0072615B"/>
    <w:rsid w:val="007267CF"/>
    <w:rsid w:val="00727843"/>
    <w:rsid w:val="00727C0A"/>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4ED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6DF"/>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051"/>
    <w:rsid w:val="007775AA"/>
    <w:rsid w:val="00777708"/>
    <w:rsid w:val="007778B0"/>
    <w:rsid w:val="00777BDA"/>
    <w:rsid w:val="00781D02"/>
    <w:rsid w:val="007828E3"/>
    <w:rsid w:val="00782BB0"/>
    <w:rsid w:val="007831D6"/>
    <w:rsid w:val="00785111"/>
    <w:rsid w:val="00785A2E"/>
    <w:rsid w:val="007860BA"/>
    <w:rsid w:val="007861DA"/>
    <w:rsid w:val="00786EFB"/>
    <w:rsid w:val="007876BF"/>
    <w:rsid w:val="00787FE9"/>
    <w:rsid w:val="007908C6"/>
    <w:rsid w:val="007912A7"/>
    <w:rsid w:val="007922D8"/>
    <w:rsid w:val="007939D1"/>
    <w:rsid w:val="00793AEA"/>
    <w:rsid w:val="007944F5"/>
    <w:rsid w:val="007947EE"/>
    <w:rsid w:val="00794B80"/>
    <w:rsid w:val="00795343"/>
    <w:rsid w:val="00795B5C"/>
    <w:rsid w:val="00796193"/>
    <w:rsid w:val="007963DF"/>
    <w:rsid w:val="00796772"/>
    <w:rsid w:val="00796F80"/>
    <w:rsid w:val="00797128"/>
    <w:rsid w:val="00797531"/>
    <w:rsid w:val="00797649"/>
    <w:rsid w:val="00797A9A"/>
    <w:rsid w:val="007A05B6"/>
    <w:rsid w:val="007A141E"/>
    <w:rsid w:val="007A1AA9"/>
    <w:rsid w:val="007A3667"/>
    <w:rsid w:val="007A5347"/>
    <w:rsid w:val="007A56B7"/>
    <w:rsid w:val="007A5CEC"/>
    <w:rsid w:val="007A61F8"/>
    <w:rsid w:val="007A6FC1"/>
    <w:rsid w:val="007A7386"/>
    <w:rsid w:val="007A7861"/>
    <w:rsid w:val="007B01B5"/>
    <w:rsid w:val="007B0229"/>
    <w:rsid w:val="007B0BFE"/>
    <w:rsid w:val="007B1B62"/>
    <w:rsid w:val="007B1C22"/>
    <w:rsid w:val="007B24BC"/>
    <w:rsid w:val="007B3712"/>
    <w:rsid w:val="007B3C6A"/>
    <w:rsid w:val="007B41A6"/>
    <w:rsid w:val="007B4652"/>
    <w:rsid w:val="007B4FD7"/>
    <w:rsid w:val="007B569A"/>
    <w:rsid w:val="007B5F56"/>
    <w:rsid w:val="007B7B09"/>
    <w:rsid w:val="007B7C01"/>
    <w:rsid w:val="007C1B6C"/>
    <w:rsid w:val="007C29E1"/>
    <w:rsid w:val="007C2CEC"/>
    <w:rsid w:val="007C3391"/>
    <w:rsid w:val="007C4D57"/>
    <w:rsid w:val="007C4F4F"/>
    <w:rsid w:val="007C5719"/>
    <w:rsid w:val="007C5812"/>
    <w:rsid w:val="007C59E9"/>
    <w:rsid w:val="007C70BD"/>
    <w:rsid w:val="007C74F4"/>
    <w:rsid w:val="007D00B4"/>
    <w:rsid w:val="007D151B"/>
    <w:rsid w:val="007D1C72"/>
    <w:rsid w:val="007D1E64"/>
    <w:rsid w:val="007D223D"/>
    <w:rsid w:val="007D3BE5"/>
    <w:rsid w:val="007D5353"/>
    <w:rsid w:val="007D5505"/>
    <w:rsid w:val="007D59F9"/>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4E64"/>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4E89"/>
    <w:rsid w:val="00845A52"/>
    <w:rsid w:val="008465D2"/>
    <w:rsid w:val="00850685"/>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0C2C"/>
    <w:rsid w:val="00871B95"/>
    <w:rsid w:val="008728CD"/>
    <w:rsid w:val="00873215"/>
    <w:rsid w:val="008733E5"/>
    <w:rsid w:val="0087374A"/>
    <w:rsid w:val="00873783"/>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AFA"/>
    <w:rsid w:val="00887E71"/>
    <w:rsid w:val="00890CE6"/>
    <w:rsid w:val="0089186E"/>
    <w:rsid w:val="00891958"/>
    <w:rsid w:val="00892A08"/>
    <w:rsid w:val="008943CF"/>
    <w:rsid w:val="008945D6"/>
    <w:rsid w:val="00895C0F"/>
    <w:rsid w:val="00895FE5"/>
    <w:rsid w:val="00896FAB"/>
    <w:rsid w:val="0089700E"/>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7A1"/>
    <w:rsid w:val="008A7CB0"/>
    <w:rsid w:val="008A7DD8"/>
    <w:rsid w:val="008B0016"/>
    <w:rsid w:val="008B00D1"/>
    <w:rsid w:val="008B07FB"/>
    <w:rsid w:val="008B0A79"/>
    <w:rsid w:val="008B0EAA"/>
    <w:rsid w:val="008B1332"/>
    <w:rsid w:val="008B21DA"/>
    <w:rsid w:val="008B25D2"/>
    <w:rsid w:val="008B2DD2"/>
    <w:rsid w:val="008B361D"/>
    <w:rsid w:val="008B3825"/>
    <w:rsid w:val="008B420A"/>
    <w:rsid w:val="008B461D"/>
    <w:rsid w:val="008B51E2"/>
    <w:rsid w:val="008B5652"/>
    <w:rsid w:val="008B56C4"/>
    <w:rsid w:val="008B57F0"/>
    <w:rsid w:val="008B5982"/>
    <w:rsid w:val="008B6135"/>
    <w:rsid w:val="008B6214"/>
    <w:rsid w:val="008B66C8"/>
    <w:rsid w:val="008B6DBE"/>
    <w:rsid w:val="008B73E8"/>
    <w:rsid w:val="008B7B4F"/>
    <w:rsid w:val="008B7F2F"/>
    <w:rsid w:val="008C0ECB"/>
    <w:rsid w:val="008C1274"/>
    <w:rsid w:val="008C147A"/>
    <w:rsid w:val="008C1818"/>
    <w:rsid w:val="008C30A0"/>
    <w:rsid w:val="008C3173"/>
    <w:rsid w:val="008C3DF1"/>
    <w:rsid w:val="008C42FB"/>
    <w:rsid w:val="008C45B6"/>
    <w:rsid w:val="008C54D9"/>
    <w:rsid w:val="008C5E4C"/>
    <w:rsid w:val="008D0F23"/>
    <w:rsid w:val="008D1B34"/>
    <w:rsid w:val="008D231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0965"/>
    <w:rsid w:val="0090184E"/>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64A"/>
    <w:rsid w:val="00923BE9"/>
    <w:rsid w:val="00923E67"/>
    <w:rsid w:val="00923E96"/>
    <w:rsid w:val="00924AA3"/>
    <w:rsid w:val="00924B04"/>
    <w:rsid w:val="009255FA"/>
    <w:rsid w:val="00925647"/>
    <w:rsid w:val="0092652E"/>
    <w:rsid w:val="00926589"/>
    <w:rsid w:val="0092691D"/>
    <w:rsid w:val="00927612"/>
    <w:rsid w:val="0092763A"/>
    <w:rsid w:val="00927737"/>
    <w:rsid w:val="00930CAF"/>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0B0E"/>
    <w:rsid w:val="0096131B"/>
    <w:rsid w:val="00961529"/>
    <w:rsid w:val="00961854"/>
    <w:rsid w:val="00962152"/>
    <w:rsid w:val="009625E8"/>
    <w:rsid w:val="0096364A"/>
    <w:rsid w:val="009639A7"/>
    <w:rsid w:val="00963AA8"/>
    <w:rsid w:val="00963D8C"/>
    <w:rsid w:val="00963F51"/>
    <w:rsid w:val="00964BA2"/>
    <w:rsid w:val="00967295"/>
    <w:rsid w:val="00967BB3"/>
    <w:rsid w:val="00967BFF"/>
    <w:rsid w:val="009708F2"/>
    <w:rsid w:val="00970D2C"/>
    <w:rsid w:val="00971292"/>
    <w:rsid w:val="0097154C"/>
    <w:rsid w:val="00971AAF"/>
    <w:rsid w:val="00971F37"/>
    <w:rsid w:val="00972284"/>
    <w:rsid w:val="0097384C"/>
    <w:rsid w:val="009738C0"/>
    <w:rsid w:val="00974ED3"/>
    <w:rsid w:val="0097583A"/>
    <w:rsid w:val="00975E36"/>
    <w:rsid w:val="009767B4"/>
    <w:rsid w:val="00976A11"/>
    <w:rsid w:val="00977BCF"/>
    <w:rsid w:val="00977F49"/>
    <w:rsid w:val="009801FC"/>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97B7B"/>
    <w:rsid w:val="009A0FE4"/>
    <w:rsid w:val="009A1480"/>
    <w:rsid w:val="009A35FA"/>
    <w:rsid w:val="009A3D32"/>
    <w:rsid w:val="009A3DE5"/>
    <w:rsid w:val="009A53DE"/>
    <w:rsid w:val="009A5649"/>
    <w:rsid w:val="009A685A"/>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568"/>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7CA"/>
    <w:rsid w:val="009D7C0C"/>
    <w:rsid w:val="009D7F0B"/>
    <w:rsid w:val="009E10D1"/>
    <w:rsid w:val="009E1F57"/>
    <w:rsid w:val="009E20EB"/>
    <w:rsid w:val="009E489A"/>
    <w:rsid w:val="009E4EB9"/>
    <w:rsid w:val="009E5212"/>
    <w:rsid w:val="009E6C19"/>
    <w:rsid w:val="009E6E2F"/>
    <w:rsid w:val="009E72FE"/>
    <w:rsid w:val="009E7FC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0E1"/>
    <w:rsid w:val="00A037A5"/>
    <w:rsid w:val="00A04292"/>
    <w:rsid w:val="00A0441E"/>
    <w:rsid w:val="00A051FE"/>
    <w:rsid w:val="00A05BED"/>
    <w:rsid w:val="00A05C06"/>
    <w:rsid w:val="00A05C6E"/>
    <w:rsid w:val="00A06128"/>
    <w:rsid w:val="00A06530"/>
    <w:rsid w:val="00A0687B"/>
    <w:rsid w:val="00A06974"/>
    <w:rsid w:val="00A073B1"/>
    <w:rsid w:val="00A07888"/>
    <w:rsid w:val="00A07A81"/>
    <w:rsid w:val="00A10114"/>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4A08"/>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65FE"/>
    <w:rsid w:val="00A56E2F"/>
    <w:rsid w:val="00A57245"/>
    <w:rsid w:val="00A6026F"/>
    <w:rsid w:val="00A60656"/>
    <w:rsid w:val="00A614D8"/>
    <w:rsid w:val="00A61592"/>
    <w:rsid w:val="00A618ED"/>
    <w:rsid w:val="00A61B9A"/>
    <w:rsid w:val="00A61E26"/>
    <w:rsid w:val="00A61FC3"/>
    <w:rsid w:val="00A655D6"/>
    <w:rsid w:val="00A656CE"/>
    <w:rsid w:val="00A65E69"/>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3AC"/>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13F"/>
    <w:rsid w:val="00AC5988"/>
    <w:rsid w:val="00AC6411"/>
    <w:rsid w:val="00AC6DB3"/>
    <w:rsid w:val="00AC7B9C"/>
    <w:rsid w:val="00AD04FE"/>
    <w:rsid w:val="00AD1327"/>
    <w:rsid w:val="00AD15D0"/>
    <w:rsid w:val="00AD172C"/>
    <w:rsid w:val="00AD1F50"/>
    <w:rsid w:val="00AD268C"/>
    <w:rsid w:val="00AD457D"/>
    <w:rsid w:val="00AD5212"/>
    <w:rsid w:val="00AD5E4E"/>
    <w:rsid w:val="00AD6657"/>
    <w:rsid w:val="00AD6ADD"/>
    <w:rsid w:val="00AD703C"/>
    <w:rsid w:val="00AE1ECB"/>
    <w:rsid w:val="00AE22E9"/>
    <w:rsid w:val="00AE2C21"/>
    <w:rsid w:val="00AE3026"/>
    <w:rsid w:val="00AE31CB"/>
    <w:rsid w:val="00AE460D"/>
    <w:rsid w:val="00AE4743"/>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3EE2"/>
    <w:rsid w:val="00B54526"/>
    <w:rsid w:val="00B54B31"/>
    <w:rsid w:val="00B55FE1"/>
    <w:rsid w:val="00B569FC"/>
    <w:rsid w:val="00B57430"/>
    <w:rsid w:val="00B574C8"/>
    <w:rsid w:val="00B57C0E"/>
    <w:rsid w:val="00B610D8"/>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4A1"/>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0A61"/>
    <w:rsid w:val="00BB2668"/>
    <w:rsid w:val="00BB3275"/>
    <w:rsid w:val="00BB32ED"/>
    <w:rsid w:val="00BB3604"/>
    <w:rsid w:val="00BB379D"/>
    <w:rsid w:val="00BB3F6D"/>
    <w:rsid w:val="00BB4131"/>
    <w:rsid w:val="00BB52E4"/>
    <w:rsid w:val="00BB5B7E"/>
    <w:rsid w:val="00BB6239"/>
    <w:rsid w:val="00BB6FE9"/>
    <w:rsid w:val="00BB7F81"/>
    <w:rsid w:val="00BC02EF"/>
    <w:rsid w:val="00BC0D2C"/>
    <w:rsid w:val="00BC2111"/>
    <w:rsid w:val="00BC2848"/>
    <w:rsid w:val="00BC3272"/>
    <w:rsid w:val="00BC3508"/>
    <w:rsid w:val="00BC3CA7"/>
    <w:rsid w:val="00BC3F0E"/>
    <w:rsid w:val="00BC3F14"/>
    <w:rsid w:val="00BC47DC"/>
    <w:rsid w:val="00BC491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E77C7"/>
    <w:rsid w:val="00BF094D"/>
    <w:rsid w:val="00BF0CB2"/>
    <w:rsid w:val="00BF0F33"/>
    <w:rsid w:val="00BF189A"/>
    <w:rsid w:val="00BF1BF2"/>
    <w:rsid w:val="00BF1D36"/>
    <w:rsid w:val="00BF2436"/>
    <w:rsid w:val="00BF2AD7"/>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4CF"/>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141"/>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C4"/>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4F5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648F"/>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2A4"/>
    <w:rsid w:val="00C72424"/>
    <w:rsid w:val="00C729F3"/>
    <w:rsid w:val="00C73E8B"/>
    <w:rsid w:val="00C74CD4"/>
    <w:rsid w:val="00C74F5C"/>
    <w:rsid w:val="00C75C02"/>
    <w:rsid w:val="00C76BFE"/>
    <w:rsid w:val="00C77681"/>
    <w:rsid w:val="00C77D90"/>
    <w:rsid w:val="00C808F0"/>
    <w:rsid w:val="00C809E5"/>
    <w:rsid w:val="00C82BE7"/>
    <w:rsid w:val="00C846AC"/>
    <w:rsid w:val="00C8494C"/>
    <w:rsid w:val="00C85BB7"/>
    <w:rsid w:val="00C86B76"/>
    <w:rsid w:val="00C86EE2"/>
    <w:rsid w:val="00C87857"/>
    <w:rsid w:val="00C87920"/>
    <w:rsid w:val="00C87C25"/>
    <w:rsid w:val="00C87D04"/>
    <w:rsid w:val="00C903CD"/>
    <w:rsid w:val="00C9046D"/>
    <w:rsid w:val="00C904DC"/>
    <w:rsid w:val="00C9304D"/>
    <w:rsid w:val="00C9309A"/>
    <w:rsid w:val="00C93A0B"/>
    <w:rsid w:val="00C93D8B"/>
    <w:rsid w:val="00C943F1"/>
    <w:rsid w:val="00C9453F"/>
    <w:rsid w:val="00C957E7"/>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3EC"/>
    <w:rsid w:val="00CB4985"/>
    <w:rsid w:val="00CB63DB"/>
    <w:rsid w:val="00CB677D"/>
    <w:rsid w:val="00CB6D83"/>
    <w:rsid w:val="00CB6FF0"/>
    <w:rsid w:val="00CB7503"/>
    <w:rsid w:val="00CB7F0D"/>
    <w:rsid w:val="00CC0702"/>
    <w:rsid w:val="00CC0EC9"/>
    <w:rsid w:val="00CC1AA1"/>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D7C86"/>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AF6"/>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0AD"/>
    <w:rsid w:val="00D1563A"/>
    <w:rsid w:val="00D159FF"/>
    <w:rsid w:val="00D15B2F"/>
    <w:rsid w:val="00D15D65"/>
    <w:rsid w:val="00D1613E"/>
    <w:rsid w:val="00D162A4"/>
    <w:rsid w:val="00D16D32"/>
    <w:rsid w:val="00D178CA"/>
    <w:rsid w:val="00D179D5"/>
    <w:rsid w:val="00D17BE1"/>
    <w:rsid w:val="00D20446"/>
    <w:rsid w:val="00D20EFA"/>
    <w:rsid w:val="00D2121B"/>
    <w:rsid w:val="00D21517"/>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D77"/>
    <w:rsid w:val="00D32E0D"/>
    <w:rsid w:val="00D33412"/>
    <w:rsid w:val="00D34220"/>
    <w:rsid w:val="00D3433D"/>
    <w:rsid w:val="00D345D3"/>
    <w:rsid w:val="00D34B5E"/>
    <w:rsid w:val="00D3537F"/>
    <w:rsid w:val="00D35582"/>
    <w:rsid w:val="00D365E8"/>
    <w:rsid w:val="00D37F99"/>
    <w:rsid w:val="00D400AE"/>
    <w:rsid w:val="00D40197"/>
    <w:rsid w:val="00D40716"/>
    <w:rsid w:val="00D411F0"/>
    <w:rsid w:val="00D41649"/>
    <w:rsid w:val="00D41A63"/>
    <w:rsid w:val="00D41E25"/>
    <w:rsid w:val="00D41E7D"/>
    <w:rsid w:val="00D42063"/>
    <w:rsid w:val="00D4228F"/>
    <w:rsid w:val="00D427A2"/>
    <w:rsid w:val="00D43207"/>
    <w:rsid w:val="00D43375"/>
    <w:rsid w:val="00D43F98"/>
    <w:rsid w:val="00D44336"/>
    <w:rsid w:val="00D44BA5"/>
    <w:rsid w:val="00D44C99"/>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386C"/>
    <w:rsid w:val="00D5579C"/>
    <w:rsid w:val="00D56213"/>
    <w:rsid w:val="00D566EA"/>
    <w:rsid w:val="00D56FC3"/>
    <w:rsid w:val="00D578A8"/>
    <w:rsid w:val="00D6162B"/>
    <w:rsid w:val="00D64807"/>
    <w:rsid w:val="00D6549B"/>
    <w:rsid w:val="00D65533"/>
    <w:rsid w:val="00D665CC"/>
    <w:rsid w:val="00D669D1"/>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2DE3"/>
    <w:rsid w:val="00D94752"/>
    <w:rsid w:val="00D94985"/>
    <w:rsid w:val="00D956AE"/>
    <w:rsid w:val="00D95A0D"/>
    <w:rsid w:val="00D95E62"/>
    <w:rsid w:val="00D97119"/>
    <w:rsid w:val="00D974E4"/>
    <w:rsid w:val="00D97A46"/>
    <w:rsid w:val="00D97B49"/>
    <w:rsid w:val="00DA05D5"/>
    <w:rsid w:val="00DA0924"/>
    <w:rsid w:val="00DA1D5C"/>
    <w:rsid w:val="00DA29A1"/>
    <w:rsid w:val="00DA2BE1"/>
    <w:rsid w:val="00DA3D4A"/>
    <w:rsid w:val="00DA420D"/>
    <w:rsid w:val="00DA52B5"/>
    <w:rsid w:val="00DA5F0A"/>
    <w:rsid w:val="00DA640C"/>
    <w:rsid w:val="00DA6BAC"/>
    <w:rsid w:val="00DA7269"/>
    <w:rsid w:val="00DB0090"/>
    <w:rsid w:val="00DB11BA"/>
    <w:rsid w:val="00DB1811"/>
    <w:rsid w:val="00DB1B2B"/>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2817"/>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436"/>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A30"/>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309"/>
    <w:rsid w:val="00E4269F"/>
    <w:rsid w:val="00E43125"/>
    <w:rsid w:val="00E434A7"/>
    <w:rsid w:val="00E43709"/>
    <w:rsid w:val="00E4431D"/>
    <w:rsid w:val="00E446A5"/>
    <w:rsid w:val="00E449A7"/>
    <w:rsid w:val="00E45C1A"/>
    <w:rsid w:val="00E4640D"/>
    <w:rsid w:val="00E46738"/>
    <w:rsid w:val="00E46A0A"/>
    <w:rsid w:val="00E47A32"/>
    <w:rsid w:val="00E5021D"/>
    <w:rsid w:val="00E5100A"/>
    <w:rsid w:val="00E521C7"/>
    <w:rsid w:val="00E525F8"/>
    <w:rsid w:val="00E52B34"/>
    <w:rsid w:val="00E52E51"/>
    <w:rsid w:val="00E53F83"/>
    <w:rsid w:val="00E54271"/>
    <w:rsid w:val="00E5515A"/>
    <w:rsid w:val="00E552B0"/>
    <w:rsid w:val="00E55E39"/>
    <w:rsid w:val="00E55E94"/>
    <w:rsid w:val="00E5648B"/>
    <w:rsid w:val="00E56F98"/>
    <w:rsid w:val="00E57BD6"/>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1C2"/>
    <w:rsid w:val="00EC3FDF"/>
    <w:rsid w:val="00EC44FD"/>
    <w:rsid w:val="00EC45A5"/>
    <w:rsid w:val="00EC47B6"/>
    <w:rsid w:val="00EC6842"/>
    <w:rsid w:val="00EC70C6"/>
    <w:rsid w:val="00EC714B"/>
    <w:rsid w:val="00EC78C1"/>
    <w:rsid w:val="00EC7F26"/>
    <w:rsid w:val="00ED012B"/>
    <w:rsid w:val="00ED02F9"/>
    <w:rsid w:val="00ED0444"/>
    <w:rsid w:val="00ED04EC"/>
    <w:rsid w:val="00ED052F"/>
    <w:rsid w:val="00ED0E29"/>
    <w:rsid w:val="00ED1342"/>
    <w:rsid w:val="00ED28C4"/>
    <w:rsid w:val="00ED334E"/>
    <w:rsid w:val="00ED3A2A"/>
    <w:rsid w:val="00ED6038"/>
    <w:rsid w:val="00ED653F"/>
    <w:rsid w:val="00ED6550"/>
    <w:rsid w:val="00ED748E"/>
    <w:rsid w:val="00ED7D4A"/>
    <w:rsid w:val="00EE02E3"/>
    <w:rsid w:val="00EE07BA"/>
    <w:rsid w:val="00EE0D34"/>
    <w:rsid w:val="00EE0D91"/>
    <w:rsid w:val="00EE1515"/>
    <w:rsid w:val="00EE27CF"/>
    <w:rsid w:val="00EE2BF1"/>
    <w:rsid w:val="00EE34FA"/>
    <w:rsid w:val="00EE50CE"/>
    <w:rsid w:val="00EE5CD7"/>
    <w:rsid w:val="00EE69A8"/>
    <w:rsid w:val="00EE6B14"/>
    <w:rsid w:val="00EE781A"/>
    <w:rsid w:val="00EF0315"/>
    <w:rsid w:val="00EF1588"/>
    <w:rsid w:val="00EF1D12"/>
    <w:rsid w:val="00EF208E"/>
    <w:rsid w:val="00EF2256"/>
    <w:rsid w:val="00EF2C03"/>
    <w:rsid w:val="00EF3A69"/>
    <w:rsid w:val="00EF3B45"/>
    <w:rsid w:val="00EF4108"/>
    <w:rsid w:val="00EF4CEE"/>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2BB"/>
    <w:rsid w:val="00F14B6C"/>
    <w:rsid w:val="00F15545"/>
    <w:rsid w:val="00F16EAA"/>
    <w:rsid w:val="00F1748F"/>
    <w:rsid w:val="00F17594"/>
    <w:rsid w:val="00F17E4B"/>
    <w:rsid w:val="00F2074F"/>
    <w:rsid w:val="00F21995"/>
    <w:rsid w:val="00F21B41"/>
    <w:rsid w:val="00F22A6D"/>
    <w:rsid w:val="00F23678"/>
    <w:rsid w:val="00F23747"/>
    <w:rsid w:val="00F24194"/>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3E1E"/>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5EC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075"/>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1D44"/>
    <w:rsid w:val="00FB2B42"/>
    <w:rsid w:val="00FB3411"/>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0FE7"/>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025"/>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737"/>
    <w:rsid w:val="00FF2F94"/>
    <w:rsid w:val="00FF309E"/>
    <w:rsid w:val="00FF35C5"/>
    <w:rsid w:val="00FF37B2"/>
    <w:rsid w:val="00FF530E"/>
    <w:rsid w:val="00FF5C3C"/>
    <w:rsid w:val="00FF66BF"/>
    <w:rsid w:val="00FF7695"/>
    <w:rsid w:val="05F7B8A2"/>
    <w:rsid w:val="29729D5D"/>
    <w:rsid w:val="3E134064"/>
    <w:rsid w:val="4C365F4B"/>
    <w:rsid w:val="58272836"/>
    <w:rsid w:val="5BCF73B7"/>
    <w:rsid w:val="62C780E2"/>
    <w:rsid w:val="680CCE58"/>
    <w:rsid w:val="6956DEDB"/>
    <w:rsid w:val="6D1DC6A4"/>
    <w:rsid w:val="7207CE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ED1342"/>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CD7C86"/>
    <w:pPr>
      <w:widowControl w:val="0"/>
      <w:spacing w:before="200" w:after="120"/>
      <w:outlineLvl w:val="2"/>
    </w:pPr>
    <w:rPr>
      <w:rFonts w:cs="Arial"/>
      <w:bCs/>
      <w:sz w:val="32"/>
      <w:szCs w:val="32"/>
    </w:rPr>
  </w:style>
  <w:style w:type="paragraph" w:styleId="Heading4">
    <w:name w:val="heading 4"/>
    <w:basedOn w:val="Heading5"/>
    <w:next w:val="Normal"/>
    <w:link w:val="Heading4Char"/>
    <w:unhideWhenUsed/>
    <w:qFormat/>
    <w:rsid w:val="00CD7C86"/>
    <w:pPr>
      <w:keepNext w:val="0"/>
      <w:keepLines w:val="0"/>
      <w:widowControl w:val="0"/>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link w:val="BalloonTextChar"/>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ED1342"/>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CD7C86"/>
    <w:rPr>
      <w:rFonts w:ascii="CVS Health Sans" w:hAnsi="CVS Health Sans" w:cs="Arial"/>
      <w:bCs/>
      <w:sz w:val="32"/>
      <w:szCs w:val="32"/>
    </w:rPr>
  </w:style>
  <w:style w:type="character" w:customStyle="1" w:styleId="Heading4Char">
    <w:name w:val="Heading 4 Char"/>
    <w:basedOn w:val="DefaultParagraphFont"/>
    <w:link w:val="Heading4"/>
    <w:rsid w:val="00CD7C86"/>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BalloonTextChar">
    <w:name w:val="Balloon Text Char"/>
    <w:basedOn w:val="DefaultParagraphFont"/>
    <w:link w:val="BalloonText"/>
    <w:rsid w:val="00BE77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6471D93-0EE9-4E4A-A28C-E083E5EF1D67}"/>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5372</Words>
  <Characters>30627</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Humira and Biosimilars SGM 2008-A</vt:lpstr>
    </vt:vector>
  </TitlesOfParts>
  <Company>CVS Caremark</Company>
  <LinksUpToDate>false</LinksUpToDate>
  <CharactersWithSpaces>35928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Humira and Biosimilars SGM 2008-A</dc:title>
  <dc:subject>Humira and Biosimilars SGM 2008-A</dc:subject>
  <dc:creator>CVS Caremark</dc:creator>
  <cp:keywords/>
  <cp:lastModifiedBy>Reynoso, Victor H</cp:lastModifiedBy>
  <cp:revision>6</cp:revision>
  <cp:lastPrinted>2018-01-09T08:01:00Z</cp:lastPrinted>
  <dcterms:created xsi:type="dcterms:W3CDTF">2025-07-16T15:49:00Z</dcterms:created>
  <dcterms:modified xsi:type="dcterms:W3CDTF">2025-07-16T15:54:00Z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12717400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